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81" w:type="dxa"/>
        <w:jc w:val="center"/>
        <w:tblCellSpacing w:w="0" w:type="dxa"/>
        <w:tblLayout w:type="fixed"/>
        <w:tblCellMar>
          <w:left w:w="0" w:type="dxa"/>
          <w:right w:w="0" w:type="dxa"/>
        </w:tblCellMar>
        <w:tblLook w:val="00A0"/>
      </w:tblPr>
      <w:tblGrid>
        <w:gridCol w:w="9081"/>
      </w:tblGrid>
      <w:tr w:rsidR="00316337">
        <w:trPr>
          <w:trHeight w:val="600"/>
          <w:tblCellSpacing w:w="0" w:type="dxa"/>
          <w:jc w:val="center"/>
        </w:trPr>
        <w:tc>
          <w:tcPr>
            <w:tcW w:w="9081" w:type="dxa"/>
            <w:vAlign w:val="center"/>
          </w:tcPr>
          <w:p w:rsidR="00316337" w:rsidRDefault="00316337">
            <w:pPr>
              <w:widowControl/>
              <w:spacing w:line="360" w:lineRule="auto"/>
              <w:jc w:val="center"/>
              <w:rPr>
                <w:rFonts w:ascii="宋体" w:eastAsia="宋体" w:cs="Times New Roman"/>
                <w:color w:val="000000"/>
                <w:kern w:val="0"/>
                <w:sz w:val="48"/>
                <w:szCs w:val="48"/>
              </w:rPr>
            </w:pPr>
          </w:p>
        </w:tc>
      </w:tr>
      <w:tr w:rsidR="00316337">
        <w:trPr>
          <w:trHeight w:val="450"/>
          <w:tblCellSpacing w:w="0" w:type="dxa"/>
          <w:jc w:val="center"/>
        </w:trPr>
        <w:tc>
          <w:tcPr>
            <w:tcW w:w="9081" w:type="dxa"/>
            <w:vAlign w:val="center"/>
          </w:tcPr>
          <w:p w:rsidR="00316337" w:rsidRDefault="00316337">
            <w:pPr>
              <w:widowControl/>
              <w:spacing w:line="360" w:lineRule="auto"/>
              <w:jc w:val="left"/>
              <w:rPr>
                <w:rFonts w:ascii="Verdana" w:hAnsi="Verdana" w:cs="Verdana"/>
                <w:color w:val="000000"/>
                <w:kern w:val="0"/>
                <w:sz w:val="18"/>
                <w:szCs w:val="18"/>
              </w:rPr>
            </w:pPr>
            <w:r>
              <w:rPr>
                <w:rFonts w:ascii="Verdana" w:hAnsi="Verdana" w:cs="Verdana"/>
                <w:color w:val="000000"/>
                <w:kern w:val="0"/>
                <w:sz w:val="18"/>
                <w:szCs w:val="18"/>
              </w:rPr>
              <w:t xml:space="preserve">  </w:t>
            </w:r>
          </w:p>
        </w:tc>
      </w:tr>
      <w:tr w:rsidR="00316337">
        <w:trPr>
          <w:trHeight w:val="1200"/>
          <w:tblCellSpacing w:w="0" w:type="dxa"/>
          <w:jc w:val="center"/>
        </w:trPr>
        <w:tc>
          <w:tcPr>
            <w:tcW w:w="9081" w:type="dxa"/>
            <w:vAlign w:val="center"/>
          </w:tcPr>
          <w:p w:rsidR="00316337" w:rsidRDefault="00316337">
            <w:pPr>
              <w:widowControl/>
              <w:spacing w:line="360" w:lineRule="auto"/>
              <w:jc w:val="center"/>
              <w:rPr>
                <w:rFonts w:ascii="宋体" w:eastAsia="宋体" w:cs="Times New Roman"/>
                <w:color w:val="000000"/>
                <w:kern w:val="0"/>
                <w:sz w:val="72"/>
                <w:szCs w:val="72"/>
              </w:rPr>
            </w:pPr>
          </w:p>
        </w:tc>
      </w:tr>
      <w:tr w:rsidR="00316337">
        <w:trPr>
          <w:tblCellSpacing w:w="0" w:type="dxa"/>
          <w:jc w:val="center"/>
        </w:trPr>
        <w:tc>
          <w:tcPr>
            <w:tcW w:w="9081" w:type="dxa"/>
            <w:vAlign w:val="center"/>
          </w:tcPr>
          <w:p w:rsidR="00316337" w:rsidRDefault="00316337">
            <w:pPr>
              <w:widowControl/>
              <w:spacing w:line="225" w:lineRule="atLeast"/>
              <w:jc w:val="left"/>
              <w:rPr>
                <w:rFonts w:ascii="Verdana" w:hAnsi="Verdana" w:cs="Verdana"/>
                <w:color w:val="000000"/>
                <w:kern w:val="0"/>
                <w:sz w:val="18"/>
                <w:szCs w:val="18"/>
              </w:rPr>
            </w:pPr>
          </w:p>
        </w:tc>
      </w:tr>
      <w:tr w:rsidR="00316337">
        <w:trPr>
          <w:trHeight w:val="450"/>
          <w:tblCellSpacing w:w="0" w:type="dxa"/>
          <w:jc w:val="center"/>
        </w:trPr>
        <w:tc>
          <w:tcPr>
            <w:tcW w:w="9081" w:type="dxa"/>
            <w:vAlign w:val="center"/>
          </w:tcPr>
          <w:p w:rsidR="00316337" w:rsidRDefault="00316337">
            <w:pPr>
              <w:widowControl/>
              <w:spacing w:line="225" w:lineRule="atLeast"/>
              <w:jc w:val="center"/>
              <w:rPr>
                <w:rFonts w:ascii="宋体" w:eastAsia="宋体" w:cs="Times New Roman"/>
                <w:color w:val="000000"/>
                <w:kern w:val="0"/>
                <w:sz w:val="27"/>
                <w:szCs w:val="27"/>
              </w:rPr>
            </w:pPr>
          </w:p>
        </w:tc>
      </w:tr>
      <w:tr w:rsidR="00316337">
        <w:trPr>
          <w:trHeight w:val="450"/>
          <w:tblCellSpacing w:w="0" w:type="dxa"/>
          <w:jc w:val="center"/>
        </w:trPr>
        <w:tc>
          <w:tcPr>
            <w:tcW w:w="9081" w:type="dxa"/>
            <w:vAlign w:val="center"/>
          </w:tcPr>
          <w:p w:rsidR="00316337" w:rsidRDefault="00316337">
            <w:pPr>
              <w:widowControl/>
              <w:spacing w:line="560" w:lineRule="exact"/>
              <w:jc w:val="center"/>
              <w:rPr>
                <w:rFonts w:cs="Times New Roman"/>
                <w:b/>
                <w:bCs/>
                <w:color w:val="000000"/>
                <w:kern w:val="0"/>
              </w:rPr>
            </w:pPr>
            <w:r>
              <w:rPr>
                <w:rFonts w:hAnsi="宋体" w:cs="宋体"/>
                <w:b/>
                <w:bCs/>
                <w:color w:val="000000"/>
                <w:kern w:val="0"/>
              </w:rPr>
              <w:t>2019</w:t>
            </w:r>
            <w:r>
              <w:rPr>
                <w:rFonts w:hAnsi="宋体" w:hint="eastAsia"/>
                <w:b/>
                <w:bCs/>
                <w:color w:val="000000"/>
                <w:kern w:val="0"/>
              </w:rPr>
              <w:t>年第</w:t>
            </w:r>
            <w:r>
              <w:rPr>
                <w:rFonts w:hAnsi="宋体" w:cs="宋体"/>
                <w:b/>
                <w:bCs/>
                <w:color w:val="000000"/>
                <w:kern w:val="0"/>
              </w:rPr>
              <w:t>4</w:t>
            </w:r>
            <w:r>
              <w:rPr>
                <w:rFonts w:hAnsi="宋体" w:hint="eastAsia"/>
                <w:b/>
                <w:bCs/>
                <w:color w:val="000000"/>
                <w:kern w:val="0"/>
              </w:rPr>
              <w:t>期</w:t>
            </w:r>
          </w:p>
          <w:p w:rsidR="00316337" w:rsidRDefault="00316337">
            <w:pPr>
              <w:widowControl/>
              <w:spacing w:line="560" w:lineRule="exact"/>
              <w:jc w:val="center"/>
              <w:rPr>
                <w:rFonts w:cs="Times New Roman"/>
                <w:b/>
                <w:bCs/>
                <w:color w:val="000000"/>
                <w:kern w:val="0"/>
              </w:rPr>
            </w:pPr>
            <w:r>
              <w:rPr>
                <w:rFonts w:hAnsi="宋体" w:cs="宋体" w:hint="eastAsia"/>
                <w:b/>
                <w:bCs/>
                <w:color w:val="000000"/>
                <w:kern w:val="0"/>
              </w:rPr>
              <w:t>（总第</w:t>
            </w:r>
            <w:r>
              <w:rPr>
                <w:rFonts w:hAnsi="宋体" w:cs="宋体"/>
                <w:b/>
                <w:bCs/>
                <w:color w:val="000000"/>
                <w:kern w:val="0"/>
              </w:rPr>
              <w:t>35</w:t>
            </w:r>
            <w:r>
              <w:rPr>
                <w:rFonts w:hAnsi="宋体" w:cs="宋体" w:hint="eastAsia"/>
                <w:b/>
                <w:bCs/>
                <w:color w:val="000000"/>
                <w:kern w:val="0"/>
              </w:rPr>
              <w:t>期）</w:t>
            </w:r>
          </w:p>
        </w:tc>
      </w:tr>
      <w:tr w:rsidR="00316337">
        <w:trPr>
          <w:trHeight w:val="450"/>
          <w:tblCellSpacing w:w="0" w:type="dxa"/>
          <w:jc w:val="center"/>
        </w:trPr>
        <w:tc>
          <w:tcPr>
            <w:tcW w:w="9081" w:type="dxa"/>
            <w:vAlign w:val="center"/>
          </w:tcPr>
          <w:p w:rsidR="00316337" w:rsidRDefault="00316337">
            <w:pPr>
              <w:widowControl/>
              <w:spacing w:line="560" w:lineRule="exact"/>
              <w:jc w:val="left"/>
              <w:rPr>
                <w:rFonts w:cs="Times New Roman"/>
                <w:color w:val="000000"/>
                <w:kern w:val="0"/>
              </w:rPr>
            </w:pPr>
            <w:r>
              <w:rPr>
                <w:rFonts w:hAnsi="宋体" w:hint="eastAsia"/>
                <w:color w:val="000000"/>
                <w:kern w:val="0"/>
              </w:rPr>
              <w:t>市委市政府美丽舟山建设领导小组办公室</w:t>
            </w:r>
            <w:r>
              <w:rPr>
                <w:rFonts w:hAnsi="宋体" w:cs="宋体"/>
                <w:color w:val="000000"/>
                <w:kern w:val="0"/>
              </w:rPr>
              <w:t xml:space="preserve">    2019</w:t>
            </w:r>
            <w:r>
              <w:rPr>
                <w:rFonts w:hAnsi="宋体" w:hint="eastAsia"/>
                <w:color w:val="000000"/>
                <w:kern w:val="0"/>
              </w:rPr>
              <w:t>年</w:t>
            </w:r>
            <w:r>
              <w:rPr>
                <w:rFonts w:hAnsi="宋体" w:cs="宋体"/>
                <w:color w:val="000000"/>
                <w:kern w:val="0"/>
              </w:rPr>
              <w:t>7</w:t>
            </w:r>
            <w:r>
              <w:rPr>
                <w:rFonts w:hAnsi="宋体" w:hint="eastAsia"/>
                <w:color w:val="000000"/>
                <w:kern w:val="0"/>
              </w:rPr>
              <w:t>月</w:t>
            </w:r>
            <w:r>
              <w:rPr>
                <w:rFonts w:hAnsi="宋体" w:cs="宋体"/>
                <w:color w:val="000000"/>
                <w:kern w:val="0"/>
              </w:rPr>
              <w:t>23</w:t>
            </w:r>
            <w:r>
              <w:rPr>
                <w:rFonts w:hAnsi="宋体" w:hint="eastAsia"/>
                <w:color w:val="000000"/>
                <w:kern w:val="0"/>
              </w:rPr>
              <w:t>日</w:t>
            </w:r>
            <w:r>
              <w:rPr>
                <w:rFonts w:hAnsi="宋体" w:cs="宋体"/>
                <w:color w:val="000000"/>
                <w:kern w:val="0"/>
              </w:rPr>
              <w:t xml:space="preserve"> </w:t>
            </w:r>
          </w:p>
        </w:tc>
      </w:tr>
    </w:tbl>
    <w:p w:rsidR="00316337" w:rsidRDefault="00316337" w:rsidP="007D5512">
      <w:pPr>
        <w:rPr>
          <w:rFonts w:ascii="楷体_GB2312" w:eastAsia="楷体_GB2312" w:hAnsi="??" w:cs="Times New Roman"/>
          <w:b/>
          <w:bCs/>
          <w:kern w:val="0"/>
        </w:rPr>
      </w:pPr>
    </w:p>
    <w:p w:rsidR="00316337" w:rsidRDefault="00316337" w:rsidP="007D5512">
      <w:pPr>
        <w:rPr>
          <w:rFonts w:ascii="楷体_GB2312" w:eastAsia="楷体_GB2312" w:hAnsi="??" w:cs="Times New Roman"/>
          <w:b/>
          <w:bCs/>
          <w:kern w:val="0"/>
        </w:rPr>
      </w:pPr>
    </w:p>
    <w:p w:rsidR="00316337" w:rsidRDefault="00316337" w:rsidP="007D5512">
      <w:pPr>
        <w:rPr>
          <w:rFonts w:ascii="楷体_GB2312" w:eastAsia="楷体_GB2312" w:hAnsi="??" w:cs="Times New Roman"/>
          <w:b/>
          <w:bCs/>
          <w:kern w:val="0"/>
        </w:rPr>
      </w:pPr>
    </w:p>
    <w:p w:rsidR="00316337" w:rsidRDefault="00316337" w:rsidP="006D1004">
      <w:pPr>
        <w:ind w:firstLineChars="147" w:firstLine="31680"/>
        <w:rPr>
          <w:rFonts w:ascii="Times New Roman" w:hAnsi="Times New Roman" w:cs="Times New Roman"/>
          <w:b/>
          <w:color w:val="000000"/>
        </w:rPr>
      </w:pPr>
      <w:r>
        <w:rPr>
          <w:rFonts w:ascii="Times New Roman" w:hAnsi="Times New Roman" w:cs="Times New Roman" w:hint="eastAsia"/>
          <w:b/>
          <w:color w:val="000000"/>
        </w:rPr>
        <w:t>●</w:t>
      </w:r>
      <w:r w:rsidRPr="007D5512">
        <w:rPr>
          <w:rFonts w:ascii="Times New Roman" w:hAnsi="Times New Roman" w:cs="Times New Roman" w:hint="eastAsia"/>
          <w:b/>
          <w:color w:val="000000"/>
        </w:rPr>
        <w:t>岱山县岱东镇被命名为“美丽浙江十佳特色体验地”乡镇</w:t>
      </w:r>
    </w:p>
    <w:p w:rsidR="00316337" w:rsidRDefault="00316337" w:rsidP="006D1004">
      <w:pPr>
        <w:ind w:firstLineChars="147" w:firstLine="31680"/>
        <w:rPr>
          <w:rFonts w:ascii="Times New Roman" w:hAnsi="Times New Roman" w:cs="Times New Roman"/>
          <w:b/>
          <w:color w:val="000000"/>
        </w:rPr>
      </w:pPr>
      <w:r>
        <w:rPr>
          <w:rFonts w:ascii="Times New Roman" w:hAnsi="Times New Roman" w:cs="Times New Roman" w:hint="eastAsia"/>
          <w:b/>
          <w:color w:val="000000"/>
        </w:rPr>
        <w:t>●普陀区获评</w:t>
      </w:r>
      <w:r>
        <w:rPr>
          <w:rFonts w:ascii="Times New Roman" w:hAnsi="Times New Roman" w:cs="Times New Roman"/>
          <w:b/>
          <w:color w:val="000000"/>
        </w:rPr>
        <w:t>2018</w:t>
      </w:r>
      <w:r>
        <w:rPr>
          <w:rFonts w:ascii="Times New Roman" w:hAnsi="Times New Roman" w:cs="Times New Roman" w:hint="eastAsia"/>
          <w:b/>
          <w:color w:val="000000"/>
        </w:rPr>
        <w:t>年度浙江省美丽乡村示范县</w:t>
      </w:r>
    </w:p>
    <w:p w:rsidR="00316337" w:rsidRDefault="00316337" w:rsidP="007D5512">
      <w:pPr>
        <w:rPr>
          <w:rFonts w:ascii="Times New Roman" w:hAnsi="Times New Roman" w:cs="Times New Roman"/>
          <w:b/>
          <w:color w:val="000000"/>
        </w:rPr>
      </w:pPr>
    </w:p>
    <w:p w:rsidR="00316337" w:rsidRDefault="00316337" w:rsidP="007D5512">
      <w:pPr>
        <w:rPr>
          <w:rFonts w:ascii="Times New Roman" w:hAnsi="Times New Roman" w:cs="Times New Roman"/>
          <w:b/>
          <w:color w:val="000000"/>
        </w:rPr>
      </w:pPr>
    </w:p>
    <w:p w:rsidR="00316337" w:rsidRDefault="00316337" w:rsidP="000A612D">
      <w:pPr>
        <w:widowControl/>
        <w:spacing w:line="342" w:lineRule="atLeast"/>
        <w:jc w:val="center"/>
        <w:textAlignment w:val="baseline"/>
        <w:rPr>
          <w:rFonts w:ascii="黑体" w:eastAsia="黑体" w:hAnsi="黑体" w:cs="Helvetica"/>
          <w:b/>
          <w:bCs/>
          <w:color w:val="000000"/>
          <w:kern w:val="0"/>
        </w:rPr>
      </w:pPr>
    </w:p>
    <w:p w:rsidR="00316337" w:rsidRDefault="00316337" w:rsidP="006D1004">
      <w:pPr>
        <w:ind w:firstLineChars="150" w:firstLine="31680"/>
        <w:rPr>
          <w:rFonts w:ascii="Cambria" w:eastAsia="楷体_GB2312" w:hAnsi="Cambria" w:cs="宋体"/>
          <w:b/>
          <w:bCs/>
          <w:color w:val="auto"/>
          <w:kern w:val="0"/>
          <w:sz w:val="30"/>
        </w:rPr>
      </w:pPr>
    </w:p>
    <w:p w:rsidR="00316337" w:rsidRPr="00461FFE" w:rsidRDefault="00316337" w:rsidP="006D1004">
      <w:pPr>
        <w:ind w:firstLineChars="150" w:firstLine="31680"/>
        <w:rPr>
          <w:rFonts w:ascii="方正小标宋简体" w:eastAsia="方正小标宋简体" w:hAnsi="黑体" w:cs="Times New Roman"/>
          <w:bCs/>
          <w:w w:val="90"/>
          <w:sz w:val="44"/>
          <w:szCs w:val="44"/>
        </w:rPr>
      </w:pPr>
      <w:r w:rsidRPr="00461FFE">
        <w:rPr>
          <w:rFonts w:ascii="方正小标宋简体" w:eastAsia="方正小标宋简体" w:hAnsi="黑体" w:cs="Times New Roman" w:hint="eastAsia"/>
          <w:bCs/>
          <w:w w:val="90"/>
          <w:sz w:val="44"/>
          <w:szCs w:val="44"/>
        </w:rPr>
        <w:t>岱东镇获评“美丽浙江十佳特色体验地”</w:t>
      </w:r>
    </w:p>
    <w:p w:rsidR="00316337" w:rsidRPr="00F77A74" w:rsidRDefault="00316337" w:rsidP="00461FFE">
      <w:pPr>
        <w:widowControl/>
        <w:spacing w:line="560" w:lineRule="atLeast"/>
        <w:ind w:firstLine="607"/>
        <w:textAlignment w:val="baseline"/>
        <w:rPr>
          <w:rFonts w:hAnsi="仿宋" w:cs="仿宋"/>
          <w:color w:val="auto"/>
          <w:kern w:val="0"/>
        </w:rPr>
      </w:pPr>
      <w:r>
        <w:rPr>
          <w:rFonts w:hAnsi="仿宋" w:cs="仿宋" w:hint="eastAsia"/>
          <w:color w:val="auto"/>
          <w:kern w:val="0"/>
        </w:rPr>
        <w:t>岱山县</w:t>
      </w:r>
      <w:r w:rsidRPr="00F77A74">
        <w:rPr>
          <w:rFonts w:hAnsi="仿宋" w:cs="仿宋" w:hint="eastAsia"/>
          <w:color w:val="auto"/>
          <w:kern w:val="0"/>
        </w:rPr>
        <w:t>岱东镇深入挖掘美丽乡村建设内涵，积极探索打造全域景区的新思路、新方法、新途径，高标准推进“新区花园·幸福岱东”建设。近日，</w:t>
      </w:r>
      <w:r>
        <w:rPr>
          <w:rFonts w:hAnsi="仿宋" w:cs="仿宋" w:hint="eastAsia"/>
          <w:color w:val="auto"/>
          <w:kern w:val="0"/>
        </w:rPr>
        <w:t>岱东镇</w:t>
      </w:r>
      <w:r w:rsidRPr="00F77A74">
        <w:rPr>
          <w:rFonts w:hAnsi="仿宋" w:cs="仿宋" w:hint="eastAsia"/>
          <w:color w:val="auto"/>
          <w:kern w:val="0"/>
        </w:rPr>
        <w:t>成功</w:t>
      </w:r>
      <w:r>
        <w:rPr>
          <w:rFonts w:hAnsi="仿宋" w:cs="仿宋" w:hint="eastAsia"/>
          <w:color w:val="auto"/>
          <w:kern w:val="0"/>
        </w:rPr>
        <w:t>入围由浙江日报社和省美丽浙江建设生态组织评选的十个特色地之一，</w:t>
      </w:r>
      <w:r w:rsidRPr="00F77A74">
        <w:rPr>
          <w:rFonts w:hAnsi="仿宋" w:cs="仿宋" w:hint="eastAsia"/>
          <w:color w:val="auto"/>
          <w:kern w:val="0"/>
        </w:rPr>
        <w:t>获评全市唯一省级“美丽浙江十大特色体验地”乡镇（街道），</w:t>
      </w:r>
      <w:r>
        <w:rPr>
          <w:rFonts w:hAnsi="仿宋" w:cs="仿宋" w:hint="eastAsia"/>
          <w:color w:val="auto"/>
          <w:kern w:val="0"/>
        </w:rPr>
        <w:t>是我市唯一获评的乡镇，为全市</w:t>
      </w:r>
      <w:r w:rsidRPr="00F77A74">
        <w:rPr>
          <w:rFonts w:hAnsi="仿宋" w:cs="仿宋" w:hint="eastAsia"/>
          <w:color w:val="auto"/>
          <w:kern w:val="0"/>
        </w:rPr>
        <w:t>推进“大花园”建设又添一张新名片。</w:t>
      </w:r>
    </w:p>
    <w:p w:rsidR="00316337" w:rsidRPr="00F77A74" w:rsidRDefault="00316337" w:rsidP="00461FFE">
      <w:pPr>
        <w:widowControl/>
        <w:spacing w:line="560" w:lineRule="atLeast"/>
        <w:ind w:firstLine="607"/>
        <w:textAlignment w:val="baseline"/>
        <w:rPr>
          <w:rFonts w:hAnsi="仿宋" w:cs="仿宋"/>
          <w:color w:val="auto"/>
          <w:kern w:val="0"/>
        </w:rPr>
      </w:pPr>
      <w:r w:rsidRPr="00F77A74">
        <w:rPr>
          <w:rFonts w:hAnsi="仿宋" w:cs="仿宋" w:hint="eastAsia"/>
          <w:color w:val="auto"/>
          <w:kern w:val="0"/>
        </w:rPr>
        <w:t>一是围绕旅游体验，推进全域景点化。深挖山水田园资源，实施全域景观化改造，打造海上休闲度假体验胜地。鹿栏晴沙全新改造海坛立面，年平均接待游客超</w:t>
      </w:r>
      <w:r w:rsidRPr="00F77A74">
        <w:rPr>
          <w:rFonts w:hAnsi="仿宋" w:cs="仿宋"/>
          <w:color w:val="auto"/>
          <w:kern w:val="0"/>
        </w:rPr>
        <w:t>45</w:t>
      </w:r>
      <w:r w:rsidRPr="00F77A74">
        <w:rPr>
          <w:rFonts w:hAnsi="仿宋" w:cs="仿宋" w:hint="eastAsia"/>
          <w:color w:val="auto"/>
          <w:kern w:val="0"/>
        </w:rPr>
        <w:t>万人次，创成国家</w:t>
      </w:r>
      <w:r w:rsidRPr="00F77A74">
        <w:rPr>
          <w:rFonts w:hAnsi="仿宋" w:cs="仿宋"/>
          <w:color w:val="auto"/>
          <w:kern w:val="0"/>
        </w:rPr>
        <w:t>3A</w:t>
      </w:r>
      <w:r w:rsidRPr="00F77A74">
        <w:rPr>
          <w:rFonts w:hAnsi="仿宋" w:cs="仿宋" w:hint="eastAsia"/>
          <w:color w:val="auto"/>
          <w:kern w:val="0"/>
        </w:rPr>
        <w:t>级景区。徐福文化村上船跳推进新农村改造，盘活农房</w:t>
      </w:r>
      <w:r w:rsidRPr="00F77A74">
        <w:rPr>
          <w:rFonts w:hAnsi="仿宋" w:cs="仿宋"/>
          <w:color w:val="auto"/>
          <w:kern w:val="0"/>
        </w:rPr>
        <w:t>8</w:t>
      </w:r>
      <w:r w:rsidRPr="00F77A74">
        <w:rPr>
          <w:rFonts w:hAnsi="仿宋" w:cs="仿宋" w:hint="eastAsia"/>
          <w:color w:val="auto"/>
          <w:kern w:val="0"/>
        </w:rPr>
        <w:t>栋，发展烧烤餐饮、咖啡屋、民宿等业态</w:t>
      </w:r>
      <w:r w:rsidRPr="00F77A74">
        <w:rPr>
          <w:rFonts w:hAnsi="仿宋" w:cs="仿宋"/>
          <w:color w:val="auto"/>
          <w:kern w:val="0"/>
        </w:rPr>
        <w:t>10</w:t>
      </w:r>
      <w:r w:rsidRPr="00F77A74">
        <w:rPr>
          <w:rFonts w:hAnsi="仿宋" w:cs="仿宋" w:hint="eastAsia"/>
          <w:color w:val="auto"/>
          <w:kern w:val="0"/>
        </w:rPr>
        <w:t>余家，建成“繁花裡”生态农庄、“海上花开”民宿等千万投资项目，成功获评省级休闲旅游示范村、省首批</w:t>
      </w:r>
      <w:r w:rsidRPr="00F77A74">
        <w:rPr>
          <w:rFonts w:hAnsi="仿宋" w:cs="仿宋"/>
          <w:color w:val="auto"/>
          <w:kern w:val="0"/>
        </w:rPr>
        <w:t>3A</w:t>
      </w:r>
      <w:r w:rsidRPr="00F77A74">
        <w:rPr>
          <w:rFonts w:hAnsi="仿宋" w:cs="仿宋" w:hint="eastAsia"/>
          <w:color w:val="auto"/>
          <w:kern w:val="0"/>
        </w:rPr>
        <w:t>级景区村庄。后背岙投资</w:t>
      </w:r>
      <w:r w:rsidRPr="00F77A74">
        <w:rPr>
          <w:rFonts w:hAnsi="仿宋" w:cs="仿宋"/>
          <w:color w:val="auto"/>
          <w:kern w:val="0"/>
        </w:rPr>
        <w:t>1000</w:t>
      </w:r>
      <w:r w:rsidRPr="00F77A74">
        <w:rPr>
          <w:rFonts w:hAnsi="仿宋" w:cs="仿宋" w:hint="eastAsia"/>
          <w:color w:val="auto"/>
          <w:kern w:val="0"/>
        </w:rPr>
        <w:t>余万元，建成全县首个高标准休闲渔业基地，市场化引进渔民创业主体，打造集海鲜餐饮、出海体验于一体的海洋旅游产品。</w:t>
      </w:r>
    </w:p>
    <w:p w:rsidR="00316337" w:rsidRPr="00F77A74" w:rsidRDefault="00316337" w:rsidP="00461FFE">
      <w:pPr>
        <w:widowControl/>
        <w:spacing w:line="560" w:lineRule="atLeast"/>
        <w:ind w:firstLine="607"/>
        <w:textAlignment w:val="baseline"/>
        <w:rPr>
          <w:rFonts w:hAnsi="仿宋" w:cs="仿宋"/>
          <w:color w:val="auto"/>
          <w:kern w:val="0"/>
        </w:rPr>
      </w:pPr>
      <w:r w:rsidRPr="00F77A74">
        <w:rPr>
          <w:rFonts w:hAnsi="仿宋" w:cs="仿宋" w:hint="eastAsia"/>
          <w:color w:val="auto"/>
          <w:kern w:val="0"/>
        </w:rPr>
        <w:t>二是围绕生态体验，推进全域整洁化。聚焦生态宜居宜游体验，打造集美丽森林、清洁水源、整洁村庄于一体的滨海田园生态小镇。大力构建“多彩岱东”，布局东西入口、超沙线等关键节点绿化</w:t>
      </w:r>
      <w:r w:rsidRPr="00F77A74">
        <w:rPr>
          <w:rFonts w:hAnsi="仿宋" w:cs="仿宋"/>
          <w:color w:val="auto"/>
          <w:kern w:val="0"/>
        </w:rPr>
        <w:t>2</w:t>
      </w:r>
      <w:r w:rsidRPr="00F77A74">
        <w:rPr>
          <w:rFonts w:hAnsi="仿宋" w:cs="仿宋" w:hint="eastAsia"/>
          <w:color w:val="auto"/>
          <w:kern w:val="0"/>
        </w:rPr>
        <w:t>万平米、平原绿化</w:t>
      </w:r>
      <w:r w:rsidRPr="00F77A74">
        <w:rPr>
          <w:rFonts w:hAnsi="仿宋" w:cs="仿宋"/>
          <w:color w:val="auto"/>
          <w:kern w:val="0"/>
        </w:rPr>
        <w:t>138</w:t>
      </w:r>
      <w:r w:rsidRPr="00F77A74">
        <w:rPr>
          <w:rFonts w:hAnsi="仿宋" w:cs="仿宋" w:hint="eastAsia"/>
          <w:color w:val="auto"/>
          <w:kern w:val="0"/>
        </w:rPr>
        <w:t>亩、绿色慢性系统</w:t>
      </w:r>
      <w:r w:rsidRPr="00F77A74">
        <w:rPr>
          <w:rFonts w:hAnsi="仿宋" w:cs="仿宋"/>
          <w:color w:val="auto"/>
          <w:kern w:val="0"/>
        </w:rPr>
        <w:t>2000</w:t>
      </w:r>
      <w:r w:rsidRPr="00F77A74">
        <w:rPr>
          <w:rFonts w:hAnsi="仿宋" w:cs="仿宋" w:hint="eastAsia"/>
          <w:color w:val="auto"/>
          <w:kern w:val="0"/>
        </w:rPr>
        <w:t>米、水源涵养林保护区</w:t>
      </w:r>
      <w:r w:rsidRPr="00F77A74">
        <w:rPr>
          <w:rFonts w:hAnsi="仿宋" w:cs="仿宋"/>
          <w:color w:val="auto"/>
          <w:kern w:val="0"/>
        </w:rPr>
        <w:t>150</w:t>
      </w:r>
      <w:r w:rsidRPr="00F77A74">
        <w:rPr>
          <w:rFonts w:hAnsi="仿宋" w:cs="仿宋" w:hint="eastAsia"/>
          <w:color w:val="auto"/>
          <w:kern w:val="0"/>
        </w:rPr>
        <w:t>亩，积极争创国家级生态文明示范乡镇。治水治污持续深化，镇域生活污水基本实现截污纳管、雨污分流，集中饮用水水源水质</w:t>
      </w:r>
      <w:r w:rsidRPr="00F77A74">
        <w:rPr>
          <w:rFonts w:hAnsi="仿宋" w:cs="仿宋"/>
          <w:color w:val="auto"/>
          <w:kern w:val="0"/>
        </w:rPr>
        <w:t>100%</w:t>
      </w:r>
      <w:r w:rsidRPr="00F77A74">
        <w:rPr>
          <w:rFonts w:hAnsi="仿宋" w:cs="仿宋" w:hint="eastAsia"/>
          <w:color w:val="auto"/>
          <w:kern w:val="0"/>
        </w:rPr>
        <w:t>达标，创成全县首个污水零直排试点乡镇。打好整洁村庄组合拳，以</w:t>
      </w:r>
      <w:r w:rsidRPr="00F77A74">
        <w:rPr>
          <w:rFonts w:hAnsi="仿宋" w:cs="仿宋"/>
          <w:color w:val="auto"/>
          <w:kern w:val="0"/>
        </w:rPr>
        <w:t>3.6</w:t>
      </w:r>
      <w:r w:rsidRPr="00F77A74">
        <w:rPr>
          <w:rFonts w:hAnsi="仿宋" w:cs="仿宋" w:hint="eastAsia"/>
          <w:color w:val="auto"/>
          <w:kern w:val="0"/>
        </w:rPr>
        <w:t>公里东兴中路为轴线，规划整治</w:t>
      </w:r>
      <w:r w:rsidRPr="00F77A74">
        <w:rPr>
          <w:rFonts w:hAnsi="仿宋" w:cs="仿宋"/>
          <w:color w:val="auto"/>
          <w:kern w:val="0"/>
        </w:rPr>
        <w:t>0.74</w:t>
      </w:r>
      <w:r w:rsidRPr="00F77A74">
        <w:rPr>
          <w:rFonts w:hAnsi="仿宋" w:cs="仿宋" w:hint="eastAsia"/>
          <w:color w:val="auto"/>
          <w:kern w:val="0"/>
        </w:rPr>
        <w:t>平方公里区域，荣获小城镇环境综合整治省级样板。</w:t>
      </w:r>
    </w:p>
    <w:p w:rsidR="00316337" w:rsidRPr="00F77A74" w:rsidRDefault="00316337" w:rsidP="00461FFE">
      <w:pPr>
        <w:widowControl/>
        <w:spacing w:line="560" w:lineRule="atLeast"/>
        <w:ind w:firstLine="607"/>
        <w:textAlignment w:val="baseline"/>
        <w:rPr>
          <w:rFonts w:hAnsi="仿宋" w:cs="仿宋"/>
          <w:color w:val="auto"/>
          <w:kern w:val="0"/>
        </w:rPr>
      </w:pPr>
      <w:r w:rsidRPr="00F77A74">
        <w:rPr>
          <w:rFonts w:hAnsi="仿宋" w:cs="仿宋" w:hint="eastAsia"/>
          <w:color w:val="auto"/>
          <w:kern w:val="0"/>
        </w:rPr>
        <w:t>三是围绕居住体验，推进全域有序化。强化群众居住体验感，致力提升城镇管理“软实力”。补齐城镇基础配套，投资</w:t>
      </w:r>
      <w:r w:rsidRPr="00F77A74">
        <w:rPr>
          <w:rFonts w:hAnsi="仿宋" w:cs="仿宋"/>
          <w:color w:val="auto"/>
          <w:kern w:val="0"/>
        </w:rPr>
        <w:t>2600</w:t>
      </w:r>
      <w:r w:rsidRPr="00F77A74">
        <w:rPr>
          <w:rFonts w:hAnsi="仿宋" w:cs="仿宋" w:hint="eastAsia"/>
          <w:color w:val="auto"/>
          <w:kern w:val="0"/>
        </w:rPr>
        <w:t>余万元的星级农贸菜场建成运营，</w:t>
      </w:r>
      <w:r w:rsidRPr="00F77A74">
        <w:rPr>
          <w:rFonts w:hAnsi="仿宋" w:cs="仿宋"/>
          <w:color w:val="auto"/>
          <w:kern w:val="0"/>
        </w:rPr>
        <w:t>17</w:t>
      </w:r>
      <w:r w:rsidRPr="00F77A74">
        <w:rPr>
          <w:rFonts w:hAnsi="仿宋" w:cs="仿宋" w:hint="eastAsia"/>
          <w:color w:val="auto"/>
          <w:kern w:val="0"/>
        </w:rPr>
        <w:t>座公厕完成提标改造，示范型居家养老服务中心加快建设，居住品质提档升级。全力攻坚“五乱”顽疾，制定出台</w:t>
      </w:r>
      <w:r w:rsidRPr="00F77A74">
        <w:rPr>
          <w:rFonts w:hAnsi="仿宋" w:cs="仿宋"/>
          <w:color w:val="auto"/>
          <w:kern w:val="0"/>
        </w:rPr>
        <w:t>12</w:t>
      </w:r>
      <w:r w:rsidRPr="00F77A74">
        <w:rPr>
          <w:rFonts w:hAnsi="仿宋" w:cs="仿宋" w:hint="eastAsia"/>
          <w:color w:val="auto"/>
          <w:kern w:val="0"/>
        </w:rPr>
        <w:t>类</w:t>
      </w:r>
      <w:r w:rsidRPr="00F77A74">
        <w:rPr>
          <w:rFonts w:hAnsi="仿宋" w:cs="仿宋"/>
          <w:color w:val="auto"/>
          <w:kern w:val="0"/>
        </w:rPr>
        <w:t>51</w:t>
      </w:r>
      <w:r w:rsidRPr="00F77A74">
        <w:rPr>
          <w:rFonts w:hAnsi="仿宋" w:cs="仿宋" w:hint="eastAsia"/>
          <w:color w:val="auto"/>
          <w:kern w:val="0"/>
        </w:rPr>
        <w:t>项小城镇环境综合整治长效管理机制，“三改一拆”超额完成年度任务，“无违建县”创建成绩位居全县前列。积极争创国家级卫生乡镇，建成全县首个渔农村垃圾分类试点乡镇，实现镇域垃圾分类全覆盖，完成环卫保洁市场化改革，垃圾清运、厕所保洁等环卫工作实现第三方运营，群众居住幸福感大幅提升。</w:t>
      </w:r>
    </w:p>
    <w:p w:rsidR="00316337" w:rsidRDefault="00316337" w:rsidP="000A612D">
      <w:pPr>
        <w:pStyle w:val="NormalWeb"/>
        <w:spacing w:before="0" w:beforeAutospacing="0" w:after="0" w:afterAutospacing="0" w:line="640" w:lineRule="exact"/>
        <w:rPr>
          <w:rFonts w:ascii="仿宋_GB2312" w:eastAsia="仿宋_GB2312" w:hAnsi="仿宋" w:cs="仿宋"/>
          <w:sz w:val="32"/>
          <w:szCs w:val="32"/>
        </w:rPr>
      </w:pPr>
    </w:p>
    <w:p w:rsidR="00316337" w:rsidRPr="007D5512" w:rsidRDefault="00316337" w:rsidP="007D5512">
      <w:pPr>
        <w:rPr>
          <w:rFonts w:ascii="Times New Roman" w:hAnsi="Times New Roman" w:cs="Times New Roman"/>
          <w:b/>
          <w:color w:val="000000"/>
        </w:rPr>
      </w:pPr>
    </w:p>
    <w:p w:rsidR="00316337" w:rsidRPr="0035095E" w:rsidRDefault="00316337" w:rsidP="006D1004">
      <w:pPr>
        <w:ind w:firstLineChars="150" w:firstLine="31680"/>
        <w:rPr>
          <w:rFonts w:ascii="方正小标宋简体" w:eastAsia="方正小标宋简体" w:hAnsi="黑体" w:cs="Times New Roman"/>
          <w:bCs/>
          <w:w w:val="90"/>
          <w:sz w:val="44"/>
          <w:szCs w:val="44"/>
        </w:rPr>
      </w:pPr>
      <w:r w:rsidRPr="0035095E">
        <w:rPr>
          <w:rFonts w:ascii="方正小标宋简体" w:eastAsia="方正小标宋简体" w:hAnsi="黑体" w:cs="Times New Roman" w:hint="eastAsia"/>
          <w:bCs/>
          <w:w w:val="90"/>
          <w:sz w:val="44"/>
          <w:szCs w:val="44"/>
        </w:rPr>
        <w:t>普陀区获评</w:t>
      </w:r>
      <w:r w:rsidRPr="0035095E">
        <w:rPr>
          <w:rFonts w:ascii="方正小标宋简体" w:eastAsia="方正小标宋简体" w:hAnsi="黑体" w:cs="Times New Roman"/>
          <w:bCs/>
          <w:w w:val="90"/>
          <w:sz w:val="44"/>
          <w:szCs w:val="44"/>
        </w:rPr>
        <w:t>2018</w:t>
      </w:r>
      <w:r w:rsidRPr="0035095E">
        <w:rPr>
          <w:rFonts w:ascii="方正小标宋简体" w:eastAsia="方正小标宋简体" w:hAnsi="黑体" w:cs="Times New Roman" w:hint="eastAsia"/>
          <w:bCs/>
          <w:w w:val="90"/>
          <w:sz w:val="44"/>
          <w:szCs w:val="44"/>
        </w:rPr>
        <w:t>年度浙江省美丽乡村示范县</w:t>
      </w:r>
    </w:p>
    <w:p w:rsidR="00316337" w:rsidRPr="0035095E" w:rsidRDefault="00316337" w:rsidP="006D1004">
      <w:pPr>
        <w:pStyle w:val="NormalWeb"/>
        <w:spacing w:before="0" w:beforeAutospacing="0" w:after="0" w:afterAutospacing="0" w:line="640" w:lineRule="exact"/>
        <w:ind w:firstLineChars="250" w:firstLine="31680"/>
        <w:rPr>
          <w:rFonts w:ascii="仿宋_GB2312" w:eastAsia="仿宋_GB2312" w:hAnsi="仿宋" w:cs="仿宋"/>
          <w:sz w:val="32"/>
          <w:szCs w:val="32"/>
        </w:rPr>
      </w:pPr>
      <w:r w:rsidRPr="0035095E">
        <w:rPr>
          <w:rFonts w:ascii="仿宋_GB2312" w:eastAsia="仿宋_GB2312" w:hAnsi="仿宋" w:cs="仿宋" w:hint="eastAsia"/>
          <w:sz w:val="32"/>
          <w:szCs w:val="32"/>
        </w:rPr>
        <w:t>近日，省委省政府下发《关于命名</w:t>
      </w:r>
      <w:r w:rsidRPr="0035095E">
        <w:rPr>
          <w:rFonts w:ascii="仿宋_GB2312" w:eastAsia="仿宋_GB2312" w:hAnsi="仿宋" w:cs="仿宋"/>
          <w:sz w:val="32"/>
          <w:szCs w:val="32"/>
        </w:rPr>
        <w:t>2018</w:t>
      </w:r>
      <w:r>
        <w:rPr>
          <w:rFonts w:ascii="仿宋_GB2312" w:eastAsia="仿宋_GB2312" w:hAnsi="仿宋" w:cs="仿宋" w:hint="eastAsia"/>
          <w:sz w:val="32"/>
          <w:szCs w:val="32"/>
        </w:rPr>
        <w:t>年度浙江省美丽乡村示范县的通知》，我市普陀</w:t>
      </w:r>
      <w:r w:rsidRPr="0035095E">
        <w:rPr>
          <w:rFonts w:ascii="仿宋_GB2312" w:eastAsia="仿宋_GB2312" w:hAnsi="仿宋" w:cs="仿宋" w:hint="eastAsia"/>
          <w:sz w:val="32"/>
          <w:szCs w:val="32"/>
        </w:rPr>
        <w:t>区获评</w:t>
      </w:r>
      <w:r w:rsidRPr="0035095E">
        <w:rPr>
          <w:rFonts w:ascii="仿宋_GB2312" w:eastAsia="仿宋_GB2312" w:hAnsi="仿宋" w:cs="仿宋"/>
          <w:sz w:val="32"/>
          <w:szCs w:val="32"/>
        </w:rPr>
        <w:t xml:space="preserve">2018 </w:t>
      </w:r>
      <w:r>
        <w:rPr>
          <w:rFonts w:ascii="仿宋_GB2312" w:eastAsia="仿宋_GB2312" w:hAnsi="仿宋" w:cs="仿宋" w:hint="eastAsia"/>
          <w:sz w:val="32"/>
          <w:szCs w:val="32"/>
        </w:rPr>
        <w:t>年度浙江省美丽乡村示范县。近年来，普陀</w:t>
      </w:r>
      <w:r w:rsidRPr="0035095E">
        <w:rPr>
          <w:rFonts w:ascii="仿宋_GB2312" w:eastAsia="仿宋_GB2312" w:hAnsi="仿宋" w:cs="仿宋" w:hint="eastAsia"/>
          <w:sz w:val="32"/>
          <w:szCs w:val="32"/>
        </w:rPr>
        <w:t>区始终秉承“绿水青山就是金山银山”发展理念，把争创省美丽乡村示范县作为巩固深化美丽乡村建设的有效载体，着力推进空间布局、生态环境、乡土风貌、产业经济、乡风文明、管理机制升级转型，充分展现美丽海岛升级版发展新面貌，走出了一条具有海岛特色的美丽乡村建设之路，实现了乡村美丽度、农民幸福感双提升。截至目前，建成省级美丽乡村示范乡镇</w:t>
      </w:r>
      <w:r w:rsidRPr="0035095E">
        <w:rPr>
          <w:rFonts w:ascii="仿宋_GB2312" w:eastAsia="仿宋_GB2312" w:hAnsi="仿宋" w:cs="仿宋"/>
          <w:sz w:val="32"/>
          <w:szCs w:val="32"/>
        </w:rPr>
        <w:t>3</w:t>
      </w:r>
      <w:r w:rsidRPr="0035095E">
        <w:rPr>
          <w:rFonts w:ascii="仿宋_GB2312" w:eastAsia="仿宋_GB2312" w:hAnsi="仿宋" w:cs="仿宋" w:hint="eastAsia"/>
          <w:sz w:val="32"/>
          <w:szCs w:val="32"/>
        </w:rPr>
        <w:t>个，省级特色精品村</w:t>
      </w:r>
      <w:r w:rsidRPr="0035095E">
        <w:rPr>
          <w:rFonts w:ascii="仿宋_GB2312" w:eastAsia="仿宋_GB2312" w:hAnsi="仿宋" w:cs="仿宋"/>
          <w:sz w:val="32"/>
          <w:szCs w:val="32"/>
        </w:rPr>
        <w:t>7</w:t>
      </w:r>
      <w:r w:rsidRPr="0035095E">
        <w:rPr>
          <w:rFonts w:ascii="仿宋_GB2312" w:eastAsia="仿宋_GB2312" w:hAnsi="仿宋" w:cs="仿宋" w:hint="eastAsia"/>
          <w:sz w:val="32"/>
          <w:szCs w:val="32"/>
        </w:rPr>
        <w:t>个，</w:t>
      </w:r>
      <w:r w:rsidRPr="0035095E">
        <w:rPr>
          <w:rFonts w:ascii="仿宋_GB2312" w:eastAsia="仿宋_GB2312" w:hAnsi="仿宋" w:cs="仿宋"/>
          <w:sz w:val="32"/>
          <w:szCs w:val="32"/>
        </w:rPr>
        <w:t>3A</w:t>
      </w:r>
      <w:r w:rsidRPr="0035095E">
        <w:rPr>
          <w:rFonts w:ascii="仿宋_GB2312" w:eastAsia="仿宋_GB2312" w:hAnsi="仿宋" w:cs="仿宋" w:hint="eastAsia"/>
          <w:sz w:val="32"/>
          <w:szCs w:val="32"/>
        </w:rPr>
        <w:t>级景区村庄</w:t>
      </w:r>
      <w:r w:rsidRPr="0035095E">
        <w:rPr>
          <w:rFonts w:ascii="仿宋_GB2312" w:eastAsia="仿宋_GB2312" w:hAnsi="仿宋" w:cs="仿宋"/>
          <w:sz w:val="32"/>
          <w:szCs w:val="32"/>
        </w:rPr>
        <w:t>2</w:t>
      </w:r>
      <w:r w:rsidRPr="0035095E">
        <w:rPr>
          <w:rFonts w:ascii="仿宋_GB2312" w:eastAsia="仿宋_GB2312" w:hAnsi="仿宋" w:cs="仿宋" w:hint="eastAsia"/>
          <w:sz w:val="32"/>
          <w:szCs w:val="32"/>
        </w:rPr>
        <w:t>个，提升打造美丽风景线</w:t>
      </w:r>
      <w:r w:rsidRPr="0035095E">
        <w:rPr>
          <w:rFonts w:ascii="仿宋_GB2312" w:eastAsia="仿宋_GB2312" w:hAnsi="仿宋" w:cs="仿宋"/>
          <w:sz w:val="32"/>
          <w:szCs w:val="32"/>
        </w:rPr>
        <w:t>6</w:t>
      </w:r>
      <w:r w:rsidRPr="0035095E">
        <w:rPr>
          <w:rFonts w:ascii="仿宋_GB2312" w:eastAsia="仿宋_GB2312" w:hAnsi="仿宋" w:cs="仿宋" w:hint="eastAsia"/>
          <w:sz w:val="32"/>
          <w:szCs w:val="32"/>
        </w:rPr>
        <w:t>条，培育美丽庭院</w:t>
      </w:r>
      <w:r w:rsidRPr="0035095E">
        <w:rPr>
          <w:rFonts w:ascii="仿宋_GB2312" w:eastAsia="仿宋_GB2312" w:hAnsi="仿宋" w:cs="仿宋"/>
          <w:sz w:val="32"/>
          <w:szCs w:val="32"/>
        </w:rPr>
        <w:t>6800</w:t>
      </w:r>
      <w:r w:rsidRPr="0035095E">
        <w:rPr>
          <w:rFonts w:ascii="仿宋_GB2312" w:eastAsia="仿宋_GB2312" w:hAnsi="仿宋" w:cs="仿宋" w:hint="eastAsia"/>
          <w:sz w:val="32"/>
          <w:szCs w:val="32"/>
        </w:rPr>
        <w:t>余户。</w:t>
      </w:r>
    </w:p>
    <w:p w:rsidR="00316337" w:rsidRPr="006B3156" w:rsidRDefault="00316337" w:rsidP="0035095E">
      <w:pPr>
        <w:pStyle w:val="NormalWeb"/>
        <w:spacing w:before="0" w:beforeAutospacing="0" w:after="0" w:afterAutospacing="0" w:line="640" w:lineRule="exact"/>
        <w:rPr>
          <w:rFonts w:ascii="仿宋_GB2312" w:eastAsia="仿宋_GB2312" w:hAnsi="仿宋" w:cs="仿宋"/>
          <w:sz w:val="32"/>
          <w:szCs w:val="32"/>
        </w:rPr>
      </w:pPr>
    </w:p>
    <w:p w:rsidR="00316337" w:rsidRDefault="00316337">
      <w:pPr>
        <w:widowControl/>
        <w:spacing w:line="560" w:lineRule="exact"/>
        <w:ind w:right="-57"/>
        <w:jc w:val="left"/>
        <w:rPr>
          <w:rFonts w:eastAsia="楷体_GB2312" w:hAnsi="宋体" w:cs="Times New Roman"/>
          <w:kern w:val="0"/>
          <w:sz w:val="28"/>
          <w:szCs w:val="28"/>
        </w:rPr>
      </w:pPr>
      <w:r>
        <w:rPr>
          <w:noProof/>
        </w:rPr>
        <w:pict>
          <v:line id="_x0000_s1026" style="position:absolute;z-index:251658240" from="-9pt,10pt" to="430.35pt,10pt" strokeweight="1.5pt"/>
        </w:pict>
      </w:r>
    </w:p>
    <w:p w:rsidR="00316337" w:rsidRDefault="00316337">
      <w:pPr>
        <w:widowControl/>
        <w:spacing w:line="400" w:lineRule="exact"/>
        <w:ind w:right="-57"/>
        <w:jc w:val="left"/>
        <w:rPr>
          <w:rFonts w:eastAsia="楷体_GB2312" w:hAnsi="宋体" w:cs="Times New Roman"/>
          <w:kern w:val="0"/>
          <w:sz w:val="28"/>
          <w:szCs w:val="28"/>
        </w:rPr>
      </w:pPr>
      <w:r>
        <w:rPr>
          <w:rFonts w:eastAsia="楷体_GB2312" w:hAnsi="宋体" w:cs="楷体_GB2312" w:hint="eastAsia"/>
          <w:kern w:val="0"/>
          <w:sz w:val="28"/>
          <w:szCs w:val="28"/>
        </w:rPr>
        <w:t>送：省美丽办，市委、市人大常委会、市政府、市政协有关领导。</w:t>
      </w:r>
    </w:p>
    <w:p w:rsidR="00316337" w:rsidRDefault="00316337">
      <w:pPr>
        <w:widowControl/>
        <w:spacing w:line="400" w:lineRule="exact"/>
        <w:jc w:val="left"/>
        <w:rPr>
          <w:rFonts w:eastAsia="楷体_GB2312" w:hAnsi="宋体" w:cs="Times New Roman"/>
          <w:kern w:val="0"/>
          <w:sz w:val="28"/>
          <w:szCs w:val="28"/>
        </w:rPr>
      </w:pPr>
      <w:r>
        <w:rPr>
          <w:rFonts w:eastAsia="楷体_GB2312" w:hAnsi="宋体" w:cs="楷体_GB2312" w:hint="eastAsia"/>
          <w:kern w:val="0"/>
          <w:sz w:val="28"/>
          <w:szCs w:val="28"/>
        </w:rPr>
        <w:t>发：市委市政府美丽舟山建设领导小组成员单位，各县（区）美丽办。</w:t>
      </w:r>
    </w:p>
    <w:p w:rsidR="00316337" w:rsidRDefault="00316337" w:rsidP="00BE1FE9">
      <w:pPr>
        <w:spacing w:beforeLines="50"/>
        <w:rPr>
          <w:rFonts w:cs="Times New Roman"/>
        </w:rPr>
      </w:pPr>
      <w:r>
        <w:rPr>
          <w:noProof/>
        </w:rPr>
        <w:pict>
          <v:line id="_x0000_s1027" style="position:absolute;left:0;text-align:left;z-index:251659264" from="-8pt,4.05pt" to="431.35pt,4.05pt" strokeweight="1.5pt"/>
        </w:pict>
      </w:r>
      <w:r>
        <w:rPr>
          <w:rFonts w:ascii="宋体" w:eastAsia="宋体" w:hAnsi="宋体" w:cs="宋体" w:hint="eastAsia"/>
          <w:b/>
          <w:bCs/>
          <w:sz w:val="24"/>
          <w:szCs w:val="24"/>
        </w:rPr>
        <w:t>联系电话</w:t>
      </w:r>
      <w:r>
        <w:rPr>
          <w:rFonts w:ascii="宋体" w:eastAsia="宋体" w:hAnsi="宋体" w:cs="宋体"/>
          <w:b/>
          <w:bCs/>
          <w:sz w:val="24"/>
          <w:szCs w:val="24"/>
        </w:rPr>
        <w:t>(</w:t>
      </w:r>
      <w:r>
        <w:rPr>
          <w:rFonts w:ascii="宋体" w:eastAsia="宋体" w:hAnsi="宋体" w:cs="宋体" w:hint="eastAsia"/>
          <w:b/>
          <w:bCs/>
          <w:sz w:val="24"/>
          <w:szCs w:val="24"/>
        </w:rPr>
        <w:t>传真</w:t>
      </w:r>
      <w:r>
        <w:rPr>
          <w:rFonts w:ascii="宋体" w:eastAsia="宋体" w:hAnsi="宋体" w:cs="宋体"/>
          <w:b/>
          <w:bCs/>
          <w:sz w:val="24"/>
          <w:szCs w:val="24"/>
        </w:rPr>
        <w:t>)</w:t>
      </w:r>
      <w:r>
        <w:rPr>
          <w:rFonts w:ascii="宋体" w:eastAsia="宋体" w:hAnsi="宋体" w:cs="宋体" w:hint="eastAsia"/>
          <w:b/>
          <w:bCs/>
          <w:sz w:val="24"/>
          <w:szCs w:val="24"/>
        </w:rPr>
        <w:t>：</w:t>
      </w:r>
      <w:r>
        <w:rPr>
          <w:rFonts w:ascii="宋体" w:eastAsia="宋体" w:hAnsi="宋体" w:cs="宋体"/>
          <w:b/>
          <w:bCs/>
          <w:sz w:val="24"/>
          <w:szCs w:val="24"/>
        </w:rPr>
        <w:t>0580-2067875   E-mail:qyh999@126.com</w:t>
      </w:r>
    </w:p>
    <w:sectPr w:rsidR="00316337" w:rsidSect="005C5BFD">
      <w:pgSz w:w="11906" w:h="16838"/>
      <w:pgMar w:top="1440" w:right="1588" w:bottom="1440" w:left="1588" w:header="851" w:footer="992" w:gutter="0"/>
      <w:cols w:space="425"/>
      <w:docGrid w:linePitch="4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6B1B69"/>
    <w:multiLevelType w:val="singleLevel"/>
    <w:tmpl w:val="B26B1B69"/>
    <w:lvl w:ilvl="0">
      <w:start w:val="1"/>
      <w:numFmt w:val="chineseCounting"/>
      <w:suff w:val="nothing"/>
      <w:lvlText w:val="%1、"/>
      <w:lvlJc w:val="left"/>
      <w:rPr>
        <w:rFonts w:cs="Times New Roman" w:hint="eastAsia"/>
      </w:rPr>
    </w:lvl>
  </w:abstractNum>
  <w:abstractNum w:abstractNumId="1">
    <w:nsid w:val="00000009"/>
    <w:multiLevelType w:val="multilevel"/>
    <w:tmpl w:val="00000009"/>
    <w:lvl w:ilvl="0">
      <w:start w:val="1"/>
      <w:numFmt w:val="bullet"/>
      <w:lvlText w:val=""/>
      <w:lvlJc w:val="left"/>
      <w:pPr>
        <w:tabs>
          <w:tab w:val="num" w:pos="1320"/>
        </w:tabs>
        <w:ind w:left="1320" w:hanging="420"/>
      </w:pPr>
      <w:rPr>
        <w:rFonts w:ascii="Wingdings" w:hAnsi="Wingdings" w:hint="default"/>
      </w:rPr>
    </w:lvl>
    <w:lvl w:ilvl="1">
      <w:start w:val="1"/>
      <w:numFmt w:val="bullet"/>
      <w:lvlText w:val=""/>
      <w:lvlJc w:val="left"/>
      <w:pPr>
        <w:tabs>
          <w:tab w:val="num" w:pos="1740"/>
        </w:tabs>
        <w:ind w:left="1740" w:hanging="420"/>
      </w:pPr>
      <w:rPr>
        <w:rFonts w:ascii="Wingdings" w:hAnsi="Wingdings" w:hint="default"/>
      </w:rPr>
    </w:lvl>
    <w:lvl w:ilvl="2">
      <w:start w:val="1"/>
      <w:numFmt w:val="bullet"/>
      <w:lvlText w:val=""/>
      <w:lvlJc w:val="left"/>
      <w:pPr>
        <w:tabs>
          <w:tab w:val="num" w:pos="2160"/>
        </w:tabs>
        <w:ind w:left="2160" w:hanging="420"/>
      </w:pPr>
      <w:rPr>
        <w:rFonts w:ascii="Wingdings" w:hAnsi="Wingdings" w:hint="default"/>
      </w:rPr>
    </w:lvl>
    <w:lvl w:ilvl="3">
      <w:start w:val="1"/>
      <w:numFmt w:val="bullet"/>
      <w:lvlText w:val=""/>
      <w:lvlJc w:val="left"/>
      <w:pPr>
        <w:tabs>
          <w:tab w:val="num" w:pos="2580"/>
        </w:tabs>
        <w:ind w:left="2580" w:hanging="420"/>
      </w:pPr>
      <w:rPr>
        <w:rFonts w:ascii="Wingdings" w:hAnsi="Wingdings" w:hint="default"/>
      </w:rPr>
    </w:lvl>
    <w:lvl w:ilvl="4">
      <w:start w:val="1"/>
      <w:numFmt w:val="bullet"/>
      <w:lvlText w:val=""/>
      <w:lvlJc w:val="left"/>
      <w:pPr>
        <w:tabs>
          <w:tab w:val="num" w:pos="3000"/>
        </w:tabs>
        <w:ind w:left="3000" w:hanging="420"/>
      </w:pPr>
      <w:rPr>
        <w:rFonts w:ascii="Wingdings" w:hAnsi="Wingdings" w:hint="default"/>
      </w:rPr>
    </w:lvl>
    <w:lvl w:ilvl="5">
      <w:start w:val="1"/>
      <w:numFmt w:val="bullet"/>
      <w:lvlText w:val=""/>
      <w:lvlJc w:val="left"/>
      <w:pPr>
        <w:tabs>
          <w:tab w:val="num" w:pos="3420"/>
        </w:tabs>
        <w:ind w:left="3420" w:hanging="420"/>
      </w:pPr>
      <w:rPr>
        <w:rFonts w:ascii="Wingdings" w:hAnsi="Wingdings" w:hint="default"/>
      </w:rPr>
    </w:lvl>
    <w:lvl w:ilvl="6">
      <w:start w:val="1"/>
      <w:numFmt w:val="bullet"/>
      <w:lvlText w:val=""/>
      <w:lvlJc w:val="left"/>
      <w:pPr>
        <w:tabs>
          <w:tab w:val="num" w:pos="3840"/>
        </w:tabs>
        <w:ind w:left="3840" w:hanging="420"/>
      </w:pPr>
      <w:rPr>
        <w:rFonts w:ascii="Wingdings" w:hAnsi="Wingdings" w:hint="default"/>
      </w:rPr>
    </w:lvl>
    <w:lvl w:ilvl="7">
      <w:start w:val="1"/>
      <w:numFmt w:val="bullet"/>
      <w:lvlText w:val=""/>
      <w:lvlJc w:val="left"/>
      <w:pPr>
        <w:tabs>
          <w:tab w:val="num" w:pos="4260"/>
        </w:tabs>
        <w:ind w:left="4260" w:hanging="420"/>
      </w:pPr>
      <w:rPr>
        <w:rFonts w:ascii="Wingdings" w:hAnsi="Wingdings" w:hint="default"/>
      </w:rPr>
    </w:lvl>
    <w:lvl w:ilvl="8">
      <w:start w:val="1"/>
      <w:numFmt w:val="bullet"/>
      <w:lvlText w:val=""/>
      <w:lvlJc w:val="left"/>
      <w:pPr>
        <w:tabs>
          <w:tab w:val="num" w:pos="4680"/>
        </w:tabs>
        <w:ind w:left="4680" w:hanging="420"/>
      </w:pPr>
      <w:rPr>
        <w:rFonts w:ascii="Wingdings" w:hAnsi="Wingdings" w:hint="default"/>
      </w:rPr>
    </w:lvl>
  </w:abstractNum>
  <w:abstractNum w:abstractNumId="2">
    <w:nsid w:val="0153763F"/>
    <w:multiLevelType w:val="multilevel"/>
    <w:tmpl w:val="0153763F"/>
    <w:lvl w:ilvl="0">
      <w:numFmt w:val="bullet"/>
      <w:lvlText w:val="●"/>
      <w:lvlJc w:val="left"/>
      <w:pPr>
        <w:tabs>
          <w:tab w:val="left" w:pos="360"/>
        </w:tabs>
        <w:ind w:left="360" w:hanging="360"/>
      </w:pPr>
      <w:rPr>
        <w:rFonts w:ascii="楷体_GB2312" w:eastAsia="楷体_GB2312" w:hAnsi="Arial"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661"/>
    <w:rsid w:val="00014C3D"/>
    <w:rsid w:val="000168D6"/>
    <w:rsid w:val="00022341"/>
    <w:rsid w:val="0002439C"/>
    <w:rsid w:val="0005099D"/>
    <w:rsid w:val="00072B1A"/>
    <w:rsid w:val="000A1624"/>
    <w:rsid w:val="000A2E88"/>
    <w:rsid w:val="000A612D"/>
    <w:rsid w:val="001147A8"/>
    <w:rsid w:val="00121083"/>
    <w:rsid w:val="001372FE"/>
    <w:rsid w:val="00140543"/>
    <w:rsid w:val="00140754"/>
    <w:rsid w:val="0017747A"/>
    <w:rsid w:val="00196602"/>
    <w:rsid w:val="001B6710"/>
    <w:rsid w:val="002120C5"/>
    <w:rsid w:val="00224252"/>
    <w:rsid w:val="002322F8"/>
    <w:rsid w:val="002352C6"/>
    <w:rsid w:val="00293ED8"/>
    <w:rsid w:val="002B4DEC"/>
    <w:rsid w:val="0031013D"/>
    <w:rsid w:val="0031322D"/>
    <w:rsid w:val="00316337"/>
    <w:rsid w:val="003234D8"/>
    <w:rsid w:val="00325D67"/>
    <w:rsid w:val="00325F0B"/>
    <w:rsid w:val="00327F52"/>
    <w:rsid w:val="0035095E"/>
    <w:rsid w:val="00363D22"/>
    <w:rsid w:val="003753C3"/>
    <w:rsid w:val="003929DE"/>
    <w:rsid w:val="003B00D3"/>
    <w:rsid w:val="003B2EE5"/>
    <w:rsid w:val="003C6F79"/>
    <w:rsid w:val="003E7A31"/>
    <w:rsid w:val="0040257A"/>
    <w:rsid w:val="0041031D"/>
    <w:rsid w:val="00415AF2"/>
    <w:rsid w:val="00461FFE"/>
    <w:rsid w:val="004702E5"/>
    <w:rsid w:val="00472FAF"/>
    <w:rsid w:val="00483DF1"/>
    <w:rsid w:val="00491851"/>
    <w:rsid w:val="004F0652"/>
    <w:rsid w:val="005108F9"/>
    <w:rsid w:val="00510D5C"/>
    <w:rsid w:val="005156A8"/>
    <w:rsid w:val="005479F9"/>
    <w:rsid w:val="005515F3"/>
    <w:rsid w:val="0056586B"/>
    <w:rsid w:val="00575187"/>
    <w:rsid w:val="005C5BFD"/>
    <w:rsid w:val="005E44CF"/>
    <w:rsid w:val="005E5E89"/>
    <w:rsid w:val="005F4EC4"/>
    <w:rsid w:val="00632744"/>
    <w:rsid w:val="006404ED"/>
    <w:rsid w:val="00657CAC"/>
    <w:rsid w:val="00662345"/>
    <w:rsid w:val="00662C7C"/>
    <w:rsid w:val="006648E0"/>
    <w:rsid w:val="00667441"/>
    <w:rsid w:val="006718DE"/>
    <w:rsid w:val="006A25EF"/>
    <w:rsid w:val="006B3156"/>
    <w:rsid w:val="006B322C"/>
    <w:rsid w:val="006D0A88"/>
    <w:rsid w:val="006D1004"/>
    <w:rsid w:val="006E5B56"/>
    <w:rsid w:val="006F55C4"/>
    <w:rsid w:val="006F688D"/>
    <w:rsid w:val="00724774"/>
    <w:rsid w:val="00740BA9"/>
    <w:rsid w:val="007514F1"/>
    <w:rsid w:val="00783E71"/>
    <w:rsid w:val="00792549"/>
    <w:rsid w:val="007B177B"/>
    <w:rsid w:val="007B2661"/>
    <w:rsid w:val="007D5512"/>
    <w:rsid w:val="007E58E5"/>
    <w:rsid w:val="007F575E"/>
    <w:rsid w:val="0088350E"/>
    <w:rsid w:val="00885896"/>
    <w:rsid w:val="008C0357"/>
    <w:rsid w:val="008E0257"/>
    <w:rsid w:val="008F51CB"/>
    <w:rsid w:val="00900BF5"/>
    <w:rsid w:val="009169DB"/>
    <w:rsid w:val="0092455B"/>
    <w:rsid w:val="00931EF8"/>
    <w:rsid w:val="00932EA4"/>
    <w:rsid w:val="0093741B"/>
    <w:rsid w:val="00971BE0"/>
    <w:rsid w:val="00994210"/>
    <w:rsid w:val="00995AB2"/>
    <w:rsid w:val="009A18E9"/>
    <w:rsid w:val="009A2B6E"/>
    <w:rsid w:val="009B5773"/>
    <w:rsid w:val="009B6713"/>
    <w:rsid w:val="009D4028"/>
    <w:rsid w:val="009D4CF9"/>
    <w:rsid w:val="009F2BA0"/>
    <w:rsid w:val="00A31D5D"/>
    <w:rsid w:val="00AB621B"/>
    <w:rsid w:val="00AC418A"/>
    <w:rsid w:val="00AD3B96"/>
    <w:rsid w:val="00B016D9"/>
    <w:rsid w:val="00B21AEA"/>
    <w:rsid w:val="00B532C6"/>
    <w:rsid w:val="00B550AC"/>
    <w:rsid w:val="00B612FF"/>
    <w:rsid w:val="00B92931"/>
    <w:rsid w:val="00B956B7"/>
    <w:rsid w:val="00BE1989"/>
    <w:rsid w:val="00BE1FE9"/>
    <w:rsid w:val="00BF512D"/>
    <w:rsid w:val="00BF6102"/>
    <w:rsid w:val="00C4610D"/>
    <w:rsid w:val="00C562CA"/>
    <w:rsid w:val="00C613B3"/>
    <w:rsid w:val="00C65798"/>
    <w:rsid w:val="00C84EC1"/>
    <w:rsid w:val="00C94EEE"/>
    <w:rsid w:val="00CB2745"/>
    <w:rsid w:val="00CB5F45"/>
    <w:rsid w:val="00CF3292"/>
    <w:rsid w:val="00CF640A"/>
    <w:rsid w:val="00D05554"/>
    <w:rsid w:val="00D15BD5"/>
    <w:rsid w:val="00D64945"/>
    <w:rsid w:val="00D83688"/>
    <w:rsid w:val="00DA034B"/>
    <w:rsid w:val="00DB7C52"/>
    <w:rsid w:val="00DC3B6F"/>
    <w:rsid w:val="00E05187"/>
    <w:rsid w:val="00E071F4"/>
    <w:rsid w:val="00E30B37"/>
    <w:rsid w:val="00E36CD7"/>
    <w:rsid w:val="00E5241F"/>
    <w:rsid w:val="00E52CB0"/>
    <w:rsid w:val="00EB1F21"/>
    <w:rsid w:val="00ED7B83"/>
    <w:rsid w:val="00F215C4"/>
    <w:rsid w:val="00F4155D"/>
    <w:rsid w:val="00F4418D"/>
    <w:rsid w:val="00F549E7"/>
    <w:rsid w:val="00F57045"/>
    <w:rsid w:val="00F635FC"/>
    <w:rsid w:val="00F64DF7"/>
    <w:rsid w:val="00F72A59"/>
    <w:rsid w:val="00F77A74"/>
    <w:rsid w:val="00F9254B"/>
    <w:rsid w:val="00FB6440"/>
    <w:rsid w:val="00FC1CD4"/>
    <w:rsid w:val="00FC568D"/>
    <w:rsid w:val="00FC7902"/>
    <w:rsid w:val="00FD6B9B"/>
    <w:rsid w:val="00FF278C"/>
    <w:rsid w:val="00FF4C1C"/>
    <w:rsid w:val="28285C75"/>
    <w:rsid w:val="71AF4436"/>
    <w:rsid w:val="7C7E08A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BFD"/>
    <w:pPr>
      <w:widowControl w:val="0"/>
      <w:jc w:val="both"/>
    </w:pPr>
    <w:rPr>
      <w:rFonts w:ascii="仿宋_GB2312" w:eastAsia="仿宋_GB2312" w:hAnsi="Calibri" w:cs="仿宋_GB2312"/>
      <w:color w:val="333333"/>
      <w:sz w:val="32"/>
      <w:szCs w:val="32"/>
    </w:rPr>
  </w:style>
  <w:style w:type="paragraph" w:styleId="Heading2">
    <w:name w:val="heading 2"/>
    <w:basedOn w:val="Normal"/>
    <w:next w:val="Normal"/>
    <w:link w:val="Heading2Char"/>
    <w:uiPriority w:val="99"/>
    <w:qFormat/>
    <w:locked/>
    <w:rsid w:val="005C5BFD"/>
    <w:pPr>
      <w:widowControl/>
      <w:spacing w:before="100" w:beforeAutospacing="1" w:after="100" w:afterAutospacing="1"/>
      <w:jc w:val="left"/>
      <w:outlineLvl w:val="1"/>
    </w:pPr>
    <w:rPr>
      <w:rFonts w:ascii="宋体" w:eastAsia="宋体" w:hAnsi="宋体" w:cs="宋体"/>
      <w:b/>
      <w:bCs/>
      <w:color w:val="auto"/>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C5BFD"/>
    <w:rPr>
      <w:rFonts w:ascii="Cambria" w:eastAsia="宋体" w:hAnsi="Cambria" w:cs="Times New Roman"/>
      <w:b/>
      <w:bCs/>
      <w:color w:val="333333"/>
      <w:sz w:val="32"/>
      <w:szCs w:val="32"/>
    </w:rPr>
  </w:style>
  <w:style w:type="paragraph" w:styleId="Footer">
    <w:name w:val="footer"/>
    <w:basedOn w:val="Normal"/>
    <w:link w:val="FooterChar"/>
    <w:uiPriority w:val="99"/>
    <w:rsid w:val="005C5BF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C5BFD"/>
    <w:rPr>
      <w:rFonts w:ascii="仿宋_GB2312" w:eastAsia="仿宋_GB2312" w:hAnsi="Calibri" w:cs="仿宋_GB2312"/>
      <w:color w:val="333333"/>
      <w:kern w:val="2"/>
      <w:sz w:val="18"/>
      <w:szCs w:val="18"/>
    </w:rPr>
  </w:style>
  <w:style w:type="paragraph" w:styleId="Header">
    <w:name w:val="header"/>
    <w:basedOn w:val="Normal"/>
    <w:link w:val="HeaderChar"/>
    <w:uiPriority w:val="99"/>
    <w:rsid w:val="005C5BF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C5BFD"/>
    <w:rPr>
      <w:rFonts w:ascii="仿宋_GB2312" w:eastAsia="仿宋_GB2312" w:hAnsi="Calibri" w:cs="仿宋_GB2312"/>
      <w:color w:val="333333"/>
      <w:kern w:val="2"/>
      <w:sz w:val="18"/>
      <w:szCs w:val="18"/>
    </w:rPr>
  </w:style>
  <w:style w:type="paragraph" w:styleId="NormalWeb">
    <w:name w:val="Normal (Web)"/>
    <w:basedOn w:val="Normal"/>
    <w:uiPriority w:val="99"/>
    <w:rsid w:val="005C5BFD"/>
    <w:pPr>
      <w:widowControl/>
      <w:spacing w:before="100" w:beforeAutospacing="1" w:after="100" w:afterAutospacing="1"/>
      <w:jc w:val="left"/>
    </w:pPr>
    <w:rPr>
      <w:rFonts w:ascii="宋体" w:eastAsia="宋体" w:hAnsi="宋体" w:cs="宋体"/>
      <w:color w:val="auto"/>
      <w:kern w:val="0"/>
      <w:sz w:val="24"/>
      <w:szCs w:val="24"/>
    </w:rPr>
  </w:style>
  <w:style w:type="character" w:styleId="Strong">
    <w:name w:val="Strong"/>
    <w:basedOn w:val="DefaultParagraphFont"/>
    <w:uiPriority w:val="99"/>
    <w:qFormat/>
    <w:rsid w:val="005C5BFD"/>
    <w:rPr>
      <w:rFonts w:cs="Times New Roman"/>
      <w:b/>
      <w:bCs/>
    </w:rPr>
  </w:style>
  <w:style w:type="character" w:customStyle="1" w:styleId="17">
    <w:name w:val="17"/>
    <w:basedOn w:val="DefaultParagraphFont"/>
    <w:uiPriority w:val="99"/>
    <w:rsid w:val="005C5BFD"/>
    <w:rPr>
      <w:rFonts w:cs="Times New Roman"/>
    </w:rPr>
  </w:style>
  <w:style w:type="character" w:customStyle="1" w:styleId="boldtruefont-familyfont-size16pt">
    <w:name w:val="bold:true font-family:黑体 font-size:16pt"/>
    <w:basedOn w:val="DefaultParagraphFont"/>
    <w:uiPriority w:val="99"/>
    <w:rsid w:val="00AD3B96"/>
    <w:rPr>
      <w:rFonts w:cs="Times New Roman"/>
    </w:rPr>
  </w:style>
  <w:style w:type="character" w:customStyle="1" w:styleId="font-familyfont-size16pt">
    <w:name w:val="font-family:仿宋 font-size:16pt"/>
    <w:basedOn w:val="DefaultParagraphFont"/>
    <w:uiPriority w:val="99"/>
    <w:rsid w:val="00AD3B96"/>
    <w:rPr>
      <w:rFonts w:cs="Times New Roman"/>
    </w:rPr>
  </w:style>
  <w:style w:type="character" w:customStyle="1" w:styleId="boldtruefont-familyfont-size16pt0">
    <w:name w:val="bold:true font-family:仿宋 font-size:16pt"/>
    <w:basedOn w:val="DefaultParagraphFont"/>
    <w:uiPriority w:val="99"/>
    <w:rsid w:val="00AD3B96"/>
    <w:rPr>
      <w:rFonts w:cs="Times New Roman"/>
    </w:rPr>
  </w:style>
  <w:style w:type="character" w:customStyle="1" w:styleId="font-familygb2312font-size16pt">
    <w:name w:val="font-family:仿宋_gb2312 font-size:16pt"/>
    <w:basedOn w:val="DefaultParagraphFont"/>
    <w:uiPriority w:val="99"/>
    <w:rsid w:val="00AD3B96"/>
    <w:rPr>
      <w:rFonts w:cs="Times New Roman"/>
    </w:rPr>
  </w:style>
  <w:style w:type="paragraph" w:styleId="BalloonText">
    <w:name w:val="Balloon Text"/>
    <w:basedOn w:val="Normal"/>
    <w:link w:val="BalloonTextChar"/>
    <w:uiPriority w:val="99"/>
    <w:semiHidden/>
    <w:rsid w:val="00AB621B"/>
    <w:rPr>
      <w:sz w:val="18"/>
      <w:szCs w:val="18"/>
    </w:rPr>
  </w:style>
  <w:style w:type="character" w:customStyle="1" w:styleId="BalloonTextChar">
    <w:name w:val="Balloon Text Char"/>
    <w:basedOn w:val="DefaultParagraphFont"/>
    <w:link w:val="BalloonText"/>
    <w:uiPriority w:val="99"/>
    <w:semiHidden/>
    <w:locked/>
    <w:rPr>
      <w:rFonts w:ascii="仿宋_GB2312" w:eastAsia="仿宋_GB2312" w:hAnsi="Calibri" w:cs="仿宋_GB2312"/>
      <w:color w:val="333333"/>
      <w:sz w:val="2"/>
    </w:rPr>
  </w:style>
</w:styles>
</file>

<file path=word/webSettings.xml><?xml version="1.0" encoding="utf-8"?>
<w:webSettings xmlns:r="http://schemas.openxmlformats.org/officeDocument/2006/relationships" xmlns:w="http://schemas.openxmlformats.org/wordprocessingml/2006/main">
  <w:divs>
    <w:div w:id="878782164">
      <w:marLeft w:val="0"/>
      <w:marRight w:val="0"/>
      <w:marTop w:val="0"/>
      <w:marBottom w:val="0"/>
      <w:divBdr>
        <w:top w:val="none" w:sz="0" w:space="0" w:color="auto"/>
        <w:left w:val="none" w:sz="0" w:space="0" w:color="auto"/>
        <w:bottom w:val="none" w:sz="0" w:space="0" w:color="auto"/>
        <w:right w:val="none" w:sz="0" w:space="0" w:color="auto"/>
      </w:divBdr>
      <w:divsChild>
        <w:div w:id="878782161">
          <w:marLeft w:val="0"/>
          <w:marRight w:val="0"/>
          <w:marTop w:val="0"/>
          <w:marBottom w:val="190"/>
          <w:divBdr>
            <w:top w:val="none" w:sz="0" w:space="0" w:color="auto"/>
            <w:left w:val="none" w:sz="0" w:space="0" w:color="auto"/>
            <w:bottom w:val="none" w:sz="0" w:space="0" w:color="auto"/>
            <w:right w:val="none" w:sz="0" w:space="0" w:color="auto"/>
          </w:divBdr>
        </w:div>
        <w:div w:id="878782162">
          <w:marLeft w:val="0"/>
          <w:marRight w:val="0"/>
          <w:marTop w:val="0"/>
          <w:marBottom w:val="190"/>
          <w:divBdr>
            <w:top w:val="none" w:sz="0" w:space="0" w:color="auto"/>
            <w:left w:val="none" w:sz="0" w:space="0" w:color="auto"/>
            <w:bottom w:val="none" w:sz="0" w:space="0" w:color="auto"/>
            <w:right w:val="none" w:sz="0" w:space="0" w:color="auto"/>
          </w:divBdr>
        </w:div>
        <w:div w:id="878782163">
          <w:marLeft w:val="0"/>
          <w:marRight w:val="0"/>
          <w:marTop w:val="0"/>
          <w:marBottom w:val="190"/>
          <w:divBdr>
            <w:top w:val="none" w:sz="0" w:space="0" w:color="auto"/>
            <w:left w:val="none" w:sz="0" w:space="0" w:color="auto"/>
            <w:bottom w:val="none" w:sz="0" w:space="0" w:color="auto"/>
            <w:right w:val="none" w:sz="0" w:space="0" w:color="auto"/>
          </w:divBdr>
        </w:div>
      </w:divsChild>
    </w:div>
    <w:div w:id="878782168">
      <w:marLeft w:val="0"/>
      <w:marRight w:val="0"/>
      <w:marTop w:val="0"/>
      <w:marBottom w:val="0"/>
      <w:divBdr>
        <w:top w:val="none" w:sz="0" w:space="0" w:color="auto"/>
        <w:left w:val="none" w:sz="0" w:space="0" w:color="auto"/>
        <w:bottom w:val="none" w:sz="0" w:space="0" w:color="auto"/>
        <w:right w:val="none" w:sz="0" w:space="0" w:color="auto"/>
      </w:divBdr>
      <w:divsChild>
        <w:div w:id="878782166">
          <w:marLeft w:val="0"/>
          <w:marRight w:val="0"/>
          <w:marTop w:val="0"/>
          <w:marBottom w:val="0"/>
          <w:divBdr>
            <w:top w:val="none" w:sz="0" w:space="0" w:color="auto"/>
            <w:left w:val="none" w:sz="0" w:space="0" w:color="auto"/>
            <w:bottom w:val="none" w:sz="0" w:space="0" w:color="auto"/>
            <w:right w:val="none" w:sz="0" w:space="0" w:color="auto"/>
          </w:divBdr>
          <w:divsChild>
            <w:div w:id="878782171">
              <w:marLeft w:val="0"/>
              <w:marRight w:val="0"/>
              <w:marTop w:val="0"/>
              <w:marBottom w:val="0"/>
              <w:divBdr>
                <w:top w:val="none" w:sz="0" w:space="0" w:color="auto"/>
                <w:left w:val="none" w:sz="0" w:space="0" w:color="auto"/>
                <w:bottom w:val="none" w:sz="0" w:space="0" w:color="auto"/>
                <w:right w:val="none" w:sz="0" w:space="0" w:color="auto"/>
              </w:divBdr>
              <w:divsChild>
                <w:div w:id="878782174">
                  <w:marLeft w:val="0"/>
                  <w:marRight w:val="0"/>
                  <w:marTop w:val="285"/>
                  <w:marBottom w:val="285"/>
                  <w:divBdr>
                    <w:top w:val="none" w:sz="0" w:space="0" w:color="auto"/>
                    <w:left w:val="none" w:sz="0" w:space="0" w:color="auto"/>
                    <w:bottom w:val="none" w:sz="0" w:space="0" w:color="auto"/>
                    <w:right w:val="none" w:sz="0" w:space="0" w:color="auto"/>
                  </w:divBdr>
                  <w:divsChild>
                    <w:div w:id="878782170">
                      <w:marLeft w:val="285"/>
                      <w:marRight w:val="285"/>
                      <w:marTop w:val="285"/>
                      <w:marBottom w:val="285"/>
                      <w:divBdr>
                        <w:top w:val="none" w:sz="0" w:space="0" w:color="auto"/>
                        <w:left w:val="none" w:sz="0" w:space="0" w:color="auto"/>
                        <w:bottom w:val="none" w:sz="0" w:space="0" w:color="auto"/>
                        <w:right w:val="none" w:sz="0" w:space="0" w:color="auto"/>
                      </w:divBdr>
                      <w:divsChild>
                        <w:div w:id="8787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782176">
      <w:marLeft w:val="0"/>
      <w:marRight w:val="0"/>
      <w:marTop w:val="0"/>
      <w:marBottom w:val="0"/>
      <w:divBdr>
        <w:top w:val="none" w:sz="0" w:space="0" w:color="auto"/>
        <w:left w:val="none" w:sz="0" w:space="0" w:color="auto"/>
        <w:bottom w:val="none" w:sz="0" w:space="0" w:color="auto"/>
        <w:right w:val="none" w:sz="0" w:space="0" w:color="auto"/>
      </w:divBdr>
      <w:divsChild>
        <w:div w:id="878782172">
          <w:marLeft w:val="0"/>
          <w:marRight w:val="0"/>
          <w:marTop w:val="0"/>
          <w:marBottom w:val="0"/>
          <w:divBdr>
            <w:top w:val="none" w:sz="0" w:space="0" w:color="auto"/>
            <w:left w:val="none" w:sz="0" w:space="0" w:color="auto"/>
            <w:bottom w:val="none" w:sz="0" w:space="0" w:color="auto"/>
            <w:right w:val="none" w:sz="0" w:space="0" w:color="auto"/>
          </w:divBdr>
          <w:divsChild>
            <w:div w:id="878782175">
              <w:marLeft w:val="0"/>
              <w:marRight w:val="0"/>
              <w:marTop w:val="0"/>
              <w:marBottom w:val="0"/>
              <w:divBdr>
                <w:top w:val="none" w:sz="0" w:space="0" w:color="auto"/>
                <w:left w:val="none" w:sz="0" w:space="0" w:color="auto"/>
                <w:bottom w:val="none" w:sz="0" w:space="0" w:color="auto"/>
                <w:right w:val="none" w:sz="0" w:space="0" w:color="auto"/>
              </w:divBdr>
              <w:divsChild>
                <w:div w:id="878782165">
                  <w:marLeft w:val="0"/>
                  <w:marRight w:val="0"/>
                  <w:marTop w:val="285"/>
                  <w:marBottom w:val="285"/>
                  <w:divBdr>
                    <w:top w:val="none" w:sz="0" w:space="0" w:color="auto"/>
                    <w:left w:val="none" w:sz="0" w:space="0" w:color="auto"/>
                    <w:bottom w:val="none" w:sz="0" w:space="0" w:color="auto"/>
                    <w:right w:val="none" w:sz="0" w:space="0" w:color="auto"/>
                  </w:divBdr>
                  <w:divsChild>
                    <w:div w:id="878782169">
                      <w:marLeft w:val="285"/>
                      <w:marRight w:val="285"/>
                      <w:marTop w:val="285"/>
                      <w:marBottom w:val="285"/>
                      <w:divBdr>
                        <w:top w:val="none" w:sz="0" w:space="0" w:color="auto"/>
                        <w:left w:val="none" w:sz="0" w:space="0" w:color="auto"/>
                        <w:bottom w:val="none" w:sz="0" w:space="0" w:color="auto"/>
                        <w:right w:val="none" w:sz="0" w:space="0" w:color="auto"/>
                      </w:divBdr>
                      <w:divsChild>
                        <w:div w:id="8787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715</TotalTime>
  <Pages>3</Pages>
  <Words>221</Words>
  <Characters>1266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32</cp:revision>
  <cp:lastPrinted>2019-07-31T08:39:00Z</cp:lastPrinted>
  <dcterms:created xsi:type="dcterms:W3CDTF">2018-06-14T06:52:00Z</dcterms:created>
  <dcterms:modified xsi:type="dcterms:W3CDTF">2019-08-05T01:58:00Z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