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Lines="20" w:line="520" w:lineRule="exact"/>
        <w:jc w:val="center"/>
        <w:textAlignment w:val="auto"/>
        <w:rPr>
          <w:rFonts w:hint="eastAsia" w:ascii="方正小标宋简体" w:hAnsi="方正小标宋简体" w:eastAsia="方正小标宋简体" w:cs="方正小标宋简体"/>
          <w:w w:val="99"/>
          <w:sz w:val="44"/>
          <w:szCs w:val="44"/>
          <w:lang w:val="en-US" w:eastAsia="zh-CN"/>
        </w:rPr>
      </w:pPr>
      <w:r>
        <w:rPr>
          <w:rFonts w:hint="eastAsia" w:ascii="方正小标宋简体" w:hAnsi="宋体" w:eastAsia="方正小标宋简体"/>
          <w:sz w:val="44"/>
          <w:szCs w:val="44"/>
        </w:rPr>
        <w:t>舟山绿色石化基地γ射线移动探伤作业辐射安全管理实施细则</w:t>
      </w:r>
      <w:r>
        <w:rPr>
          <w:rFonts w:hint="eastAsia" w:ascii="方正小标宋简体" w:hAnsi="方正小标宋简体" w:eastAsia="方正小标宋简体" w:cs="方正小标宋简体"/>
          <w:w w:val="99"/>
          <w:sz w:val="44"/>
          <w:szCs w:val="44"/>
          <w:lang w:val="en-US" w:eastAsia="zh-CN"/>
        </w:rPr>
        <w:t>（征求意见稿）</w:t>
      </w:r>
    </w:p>
    <w:p>
      <w:pPr>
        <w:keepNext w:val="0"/>
        <w:keepLines w:val="0"/>
        <w:pageBreakBefore w:val="0"/>
        <w:widowControl w:val="0"/>
        <w:kinsoku/>
        <w:wordWrap/>
        <w:overflowPunct/>
        <w:topLinePunct w:val="0"/>
        <w:autoSpaceDE/>
        <w:autoSpaceDN/>
        <w:bidi w:val="0"/>
        <w:adjustRightInd w:val="0"/>
        <w:snapToGrid w:val="0"/>
        <w:spacing w:afterLines="20" w:line="520" w:lineRule="exact"/>
        <w:jc w:val="center"/>
        <w:textAlignment w:val="auto"/>
        <w:rPr>
          <w:rFonts w:hint="default" w:ascii="方正小标宋简体" w:hAnsi="方正小标宋简体" w:eastAsia="方正小标宋简体" w:cs="方正小标宋简体"/>
          <w:w w:val="99"/>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Lines="20" w:line="520" w:lineRule="exact"/>
        <w:textAlignment w:val="auto"/>
        <w:rPr>
          <w:rFonts w:ascii="仿宋_GB2312" w:hAnsi="仿宋_GB2312" w:cs="仿宋_GB2312"/>
          <w:szCs w:val="32"/>
        </w:rPr>
      </w:pPr>
      <w:r>
        <w:rPr>
          <w:rFonts w:hint="eastAsia" w:ascii="仿宋_GB2312" w:hAnsi="仿宋_GB2312" w:cs="仿宋_GB2312"/>
          <w:szCs w:val="32"/>
        </w:rPr>
        <w:t>各有关单位：</w:t>
      </w:r>
    </w:p>
    <w:p>
      <w:pPr>
        <w:keepNext w:val="0"/>
        <w:keepLines w:val="0"/>
        <w:pageBreakBefore w:val="0"/>
        <w:widowControl w:val="0"/>
        <w:kinsoku/>
        <w:wordWrap/>
        <w:overflowPunct/>
        <w:topLinePunct w:val="0"/>
        <w:autoSpaceDE/>
        <w:autoSpaceDN/>
        <w:bidi w:val="0"/>
        <w:spacing w:line="520" w:lineRule="exact"/>
        <w:ind w:firstLine="636" w:firstLineChars="200"/>
        <w:textAlignment w:val="auto"/>
        <w:rPr>
          <w:szCs w:val="21"/>
        </w:rPr>
      </w:pPr>
      <w:r>
        <w:rPr>
          <w:rFonts w:hint="eastAsia" w:ascii="仿宋_GB2312" w:hAnsi="仿宋_GB2312" w:cs="仿宋_GB2312"/>
          <w:szCs w:val="32"/>
        </w:rPr>
        <w:t>为进一步规范我市绿色石化基地γ射线移动探伤作业辐射安全管理，有效防范基地辐射环境风险，根据《放射性同位素与射线装置安全和防护条例》（国务院令第449号）、《关于进一步加强γ射线移动探伤辐射安全管理的通知》（环办函〔2014〕1293号）等法规文件，我局研究制定了《舟山绿色石化基地γ射线移动探伤作业辐射安全管理实施细则》</w:t>
      </w:r>
      <w:r>
        <w:rPr>
          <w:rFonts w:hint="eastAsia" w:ascii="仿宋_GB2312" w:hAnsi="仿宋_GB2312" w:cs="仿宋_GB2312"/>
          <w:szCs w:val="32"/>
          <w:lang w:val="en-US" w:eastAsia="zh-CN"/>
        </w:rPr>
        <w:t>（征求意见稿）</w:t>
      </w:r>
      <w:r>
        <w:rPr>
          <w:rFonts w:hint="eastAsia" w:ascii="仿宋_GB2312" w:hAnsi="仿宋_GB2312" w:cs="仿宋_GB2312"/>
          <w:szCs w:val="32"/>
        </w:rPr>
        <w:t>。</w:t>
      </w:r>
    </w:p>
    <w:p>
      <w:pPr>
        <w:keepNext w:val="0"/>
        <w:keepLines w:val="0"/>
        <w:pageBreakBefore w:val="0"/>
        <w:widowControl w:val="0"/>
        <w:kinsoku/>
        <w:wordWrap/>
        <w:overflowPunct/>
        <w:topLinePunct w:val="0"/>
        <w:autoSpaceDE/>
        <w:autoSpaceDN/>
        <w:bidi w:val="0"/>
        <w:spacing w:line="520" w:lineRule="exact"/>
        <w:ind w:firstLine="636" w:firstLineChars="200"/>
        <w:textAlignment w:val="auto"/>
        <w:rPr>
          <w:szCs w:val="21"/>
        </w:rPr>
      </w:pPr>
    </w:p>
    <w:p>
      <w:pPr>
        <w:keepNext w:val="0"/>
        <w:keepLines w:val="0"/>
        <w:pageBreakBefore w:val="0"/>
        <w:widowControl w:val="0"/>
        <w:kinsoku/>
        <w:wordWrap/>
        <w:overflowPunct/>
        <w:topLinePunct w:val="0"/>
        <w:autoSpaceDE/>
        <w:autoSpaceDN/>
        <w:bidi w:val="0"/>
        <w:spacing w:line="520" w:lineRule="exact"/>
        <w:ind w:left="1431" w:leftChars="200" w:hanging="795" w:hangingChars="250"/>
        <w:textAlignment w:val="auto"/>
        <w:rPr>
          <w:rFonts w:ascii="仿宋_GB2312" w:hAnsi="仿宋_GB2312" w:cs="仿宋_GB2312"/>
          <w:szCs w:val="21"/>
        </w:rPr>
      </w:pPr>
      <w:r>
        <w:rPr>
          <w:rFonts w:hint="eastAsia" w:ascii="仿宋_GB2312" w:hAnsi="仿宋_GB2312" w:cs="仿宋_GB2312"/>
          <w:szCs w:val="21"/>
        </w:rPr>
        <w:t>附件：《舟山绿色石化基地γ射线移动探伤作业辐射安全管理实施细则》</w:t>
      </w:r>
    </w:p>
    <w:p>
      <w:pPr>
        <w:keepNext w:val="0"/>
        <w:keepLines w:val="0"/>
        <w:pageBreakBefore w:val="0"/>
        <w:widowControl w:val="0"/>
        <w:kinsoku/>
        <w:wordWrap/>
        <w:overflowPunct/>
        <w:topLinePunct w:val="0"/>
        <w:autoSpaceDE/>
        <w:autoSpaceDN/>
        <w:bidi w:val="0"/>
        <w:spacing w:line="520" w:lineRule="exact"/>
        <w:textAlignment w:val="auto"/>
        <w:rPr>
          <w:rFonts w:ascii="仿宋_GB2312" w:hAnsi="仿宋_GB2312" w:cs="仿宋_GB2312"/>
          <w:szCs w:val="32"/>
        </w:rPr>
      </w:pPr>
    </w:p>
    <w:p>
      <w:pPr>
        <w:keepNext w:val="0"/>
        <w:keepLines w:val="0"/>
        <w:pageBreakBefore w:val="0"/>
        <w:widowControl w:val="0"/>
        <w:kinsoku/>
        <w:wordWrap/>
        <w:overflowPunct/>
        <w:topLinePunct w:val="0"/>
        <w:autoSpaceDE/>
        <w:autoSpaceDN/>
        <w:bidi w:val="0"/>
        <w:spacing w:line="520" w:lineRule="exact"/>
        <w:ind w:right="1272" w:rightChars="400"/>
        <w:jc w:val="right"/>
        <w:textAlignment w:val="auto"/>
        <w:rPr>
          <w:rFonts w:ascii="仿宋_GB2312" w:hAnsi="仿宋_GB2312" w:cs="仿宋_GB2312"/>
          <w:szCs w:val="32"/>
        </w:rPr>
      </w:pPr>
      <w:bookmarkStart w:id="0" w:name="_GoBack"/>
      <w:bookmarkEnd w:id="0"/>
    </w:p>
    <w:p>
      <w:pPr>
        <w:keepNext w:val="0"/>
        <w:keepLines w:val="0"/>
        <w:pageBreakBefore w:val="0"/>
        <w:widowControl w:val="0"/>
        <w:kinsoku/>
        <w:wordWrap/>
        <w:overflowPunct/>
        <w:topLinePunct w:val="0"/>
        <w:autoSpaceDE/>
        <w:autoSpaceDN/>
        <w:bidi w:val="0"/>
        <w:spacing w:line="520" w:lineRule="exact"/>
        <w:ind w:right="1272" w:rightChars="400"/>
        <w:jc w:val="right"/>
        <w:textAlignment w:val="auto"/>
        <w:rPr>
          <w:rFonts w:ascii="仿宋_GB2312" w:hAnsi="仿宋_GB2312" w:cs="仿宋_GB2312"/>
          <w:szCs w:val="32"/>
        </w:rPr>
      </w:pPr>
      <w:r>
        <w:rPr>
          <w:rFonts w:hint="eastAsia" w:ascii="仿宋_GB2312" w:hAnsi="仿宋_GB2312" w:cs="仿宋_GB2312"/>
          <w:szCs w:val="32"/>
        </w:rPr>
        <w:t>舟山市生态环境局</w:t>
      </w:r>
    </w:p>
    <w:p>
      <w:pPr>
        <w:keepNext w:val="0"/>
        <w:keepLines w:val="0"/>
        <w:pageBreakBefore w:val="0"/>
        <w:widowControl w:val="0"/>
        <w:kinsoku/>
        <w:wordWrap/>
        <w:overflowPunct/>
        <w:topLinePunct w:val="0"/>
        <w:autoSpaceDE/>
        <w:autoSpaceDN/>
        <w:bidi w:val="0"/>
        <w:spacing w:line="520" w:lineRule="exact"/>
        <w:jc w:val="left"/>
        <w:textAlignment w:val="auto"/>
        <w:rPr>
          <w:rFonts w:eastAsia="黑体"/>
          <w:szCs w:val="32"/>
        </w:rPr>
      </w:pPr>
      <w:r>
        <w:rPr>
          <w:rFonts w:hint="eastAsia" w:ascii="仿宋_GB2312" w:hAnsi="仿宋_GB2312" w:cs="仿宋_GB2312"/>
          <w:szCs w:val="21"/>
          <w:lang w:val="en-US" w:eastAsia="zh-CN"/>
        </w:rPr>
        <w:t xml:space="preserve">                              2021年1月22日   </w:t>
      </w:r>
      <w:r>
        <w:rPr>
          <w:szCs w:val="21"/>
        </w:rPr>
        <w:br w:type="page"/>
      </w:r>
      <w:r>
        <w:rPr>
          <w:rFonts w:eastAsia="黑体"/>
          <w:szCs w:val="32"/>
        </w:rPr>
        <w:t>附件</w:t>
      </w:r>
    </w:p>
    <w:p>
      <w:pPr>
        <w:spacing w:line="560" w:lineRule="exact"/>
        <w:jc w:val="center"/>
        <w:rPr>
          <w:rFonts w:eastAsia="方正小标宋简体"/>
          <w:sz w:val="36"/>
          <w:szCs w:val="36"/>
        </w:rPr>
      </w:pPr>
    </w:p>
    <w:p>
      <w:pPr>
        <w:autoSpaceDE w:val="0"/>
        <w:autoSpaceDN w:val="0"/>
        <w:adjustRightInd w:val="0"/>
        <w:spacing w:line="600" w:lineRule="exact"/>
        <w:jc w:val="center"/>
        <w:rPr>
          <w:rFonts w:eastAsia="方正小标宋简体"/>
          <w:kern w:val="0"/>
          <w:sz w:val="44"/>
          <w:szCs w:val="44"/>
        </w:rPr>
      </w:pPr>
      <w:r>
        <w:rPr>
          <w:rFonts w:hint="eastAsia" w:eastAsia="方正小标宋简体"/>
          <w:kern w:val="0"/>
          <w:sz w:val="44"/>
          <w:szCs w:val="44"/>
        </w:rPr>
        <w:t>舟山绿色石化基地γ射线移动探伤作业</w:t>
      </w:r>
    </w:p>
    <w:p>
      <w:pPr>
        <w:autoSpaceDE w:val="0"/>
        <w:autoSpaceDN w:val="0"/>
        <w:adjustRightInd w:val="0"/>
        <w:spacing w:line="600" w:lineRule="exact"/>
        <w:jc w:val="center"/>
        <w:rPr>
          <w:rFonts w:eastAsia="方正小标宋简体"/>
          <w:kern w:val="0"/>
          <w:sz w:val="44"/>
          <w:szCs w:val="44"/>
        </w:rPr>
      </w:pPr>
      <w:r>
        <w:rPr>
          <w:rFonts w:hint="eastAsia" w:eastAsia="方正小标宋简体"/>
          <w:kern w:val="0"/>
          <w:sz w:val="44"/>
          <w:szCs w:val="44"/>
        </w:rPr>
        <w:t>辐射安全管理实施细则</w:t>
      </w:r>
    </w:p>
    <w:p>
      <w:pPr>
        <w:spacing w:line="300" w:lineRule="exact"/>
        <w:rPr>
          <w:rFonts w:eastAsia="宋体"/>
          <w:sz w:val="21"/>
          <w:szCs w:val="32"/>
        </w:rPr>
      </w:pPr>
    </w:p>
    <w:p>
      <w:pPr>
        <w:spacing w:line="300" w:lineRule="exact"/>
        <w:rPr>
          <w:rFonts w:eastAsia="宋体"/>
          <w:sz w:val="21"/>
          <w:szCs w:val="32"/>
        </w:rPr>
      </w:pPr>
    </w:p>
    <w:p>
      <w:pPr>
        <w:spacing w:line="560" w:lineRule="exact"/>
        <w:jc w:val="center"/>
        <w:rPr>
          <w:rFonts w:eastAsia="黑体"/>
          <w:szCs w:val="21"/>
        </w:rPr>
      </w:pPr>
      <w:r>
        <w:rPr>
          <w:rFonts w:eastAsia="黑体"/>
          <w:szCs w:val="21"/>
        </w:rPr>
        <w:t>第一章总则</w:t>
      </w:r>
    </w:p>
    <w:p>
      <w:pPr>
        <w:snapToGrid w:val="0"/>
        <w:spacing w:line="560" w:lineRule="exact"/>
        <w:ind w:firstLine="636" w:firstLineChars="200"/>
        <w:rPr>
          <w:szCs w:val="21"/>
        </w:rPr>
      </w:pPr>
      <w:r>
        <w:rPr>
          <w:rFonts w:eastAsia="黑体"/>
          <w:szCs w:val="21"/>
        </w:rPr>
        <w:t>第一条</w:t>
      </w:r>
      <w:r>
        <w:rPr>
          <w:szCs w:val="21"/>
        </w:rPr>
        <w:t>为加强对</w:t>
      </w:r>
      <w:r>
        <w:rPr>
          <w:rFonts w:hint="eastAsia"/>
          <w:szCs w:val="21"/>
        </w:rPr>
        <w:t>舟山绿色石化基地</w:t>
      </w:r>
      <w:r>
        <w:rPr>
          <w:szCs w:val="21"/>
        </w:rPr>
        <w:t>γ射线移动探伤作业的辐射安全管理，有效防范γ射线移动探伤作业环境风险，</w:t>
      </w:r>
      <w:r>
        <w:rPr>
          <w:rFonts w:hint="eastAsia"/>
          <w:szCs w:val="21"/>
        </w:rPr>
        <w:t>根据《放射性同位素与射线装置安全和防护条例》（国务院令第449号），《关于γ射线探伤装置的辐射安全管理要求》（环发〔2007〕8号）、《关于进一步加强γ射线移动探伤辐射安全管理的通知》（环办函〔2014〕1293号），以及《浙江省γ射线移动探伤作业辐射安全管理规定（试行）》（浙环函〔2016〕117号）等法规文件，</w:t>
      </w:r>
      <w:r>
        <w:rPr>
          <w:szCs w:val="21"/>
        </w:rPr>
        <w:t>制定本</w:t>
      </w:r>
      <w:r>
        <w:rPr>
          <w:rFonts w:hint="eastAsia"/>
          <w:szCs w:val="21"/>
        </w:rPr>
        <w:t>细则</w:t>
      </w:r>
      <w:r>
        <w:rPr>
          <w:szCs w:val="21"/>
        </w:rPr>
        <w:t>。</w:t>
      </w:r>
    </w:p>
    <w:p>
      <w:pPr>
        <w:snapToGrid w:val="0"/>
        <w:spacing w:line="560" w:lineRule="exact"/>
        <w:ind w:firstLine="636" w:firstLineChars="200"/>
        <w:rPr>
          <w:szCs w:val="21"/>
        </w:rPr>
      </w:pPr>
      <w:r>
        <w:rPr>
          <w:rFonts w:eastAsia="黑体"/>
          <w:szCs w:val="21"/>
        </w:rPr>
        <w:t>第二条</w:t>
      </w:r>
      <w:r>
        <w:rPr>
          <w:szCs w:val="21"/>
        </w:rPr>
        <w:t>本规定适用于</w:t>
      </w:r>
      <w:r>
        <w:rPr>
          <w:rFonts w:hint="eastAsia"/>
          <w:szCs w:val="21"/>
        </w:rPr>
        <w:t>市内外持有辐射安全许可证</w:t>
      </w:r>
      <w:r>
        <w:rPr>
          <w:szCs w:val="21"/>
        </w:rPr>
        <w:t>单位</w:t>
      </w:r>
      <w:r>
        <w:rPr>
          <w:rFonts w:hint="eastAsia"/>
          <w:szCs w:val="21"/>
        </w:rPr>
        <w:t>在绿色石化基地从事</w:t>
      </w:r>
      <w:r>
        <w:rPr>
          <w:szCs w:val="21"/>
        </w:rPr>
        <w:t>γ射线移动探伤作业（以下“γ射线移动探伤作业”简称“作业”）活动，以及</w:t>
      </w:r>
      <w:r>
        <w:rPr>
          <w:rFonts w:hint="eastAsia"/>
          <w:szCs w:val="21"/>
        </w:rPr>
        <w:t>基地内委托</w:t>
      </w:r>
      <w:r>
        <w:rPr>
          <w:szCs w:val="21"/>
        </w:rPr>
        <w:t>单位的委托行为</w:t>
      </w:r>
      <w:r>
        <w:rPr>
          <w:rFonts w:hint="eastAsia"/>
          <w:szCs w:val="21"/>
        </w:rPr>
        <w:t>。</w:t>
      </w:r>
    </w:p>
    <w:p>
      <w:pPr>
        <w:snapToGrid w:val="0"/>
        <w:spacing w:line="560" w:lineRule="exact"/>
        <w:ind w:firstLine="636" w:firstLineChars="200"/>
        <w:rPr>
          <w:szCs w:val="21"/>
        </w:rPr>
      </w:pPr>
      <w:r>
        <w:rPr>
          <w:rFonts w:eastAsia="黑体"/>
          <w:szCs w:val="21"/>
        </w:rPr>
        <w:t>第三条</w:t>
      </w:r>
      <w:r>
        <w:rPr>
          <w:rFonts w:hint="eastAsia"/>
          <w:szCs w:val="21"/>
        </w:rPr>
        <w:t>本市</w:t>
      </w:r>
      <w:r>
        <w:rPr>
          <w:szCs w:val="21"/>
        </w:rPr>
        <w:t>境内其他</w:t>
      </w:r>
      <w:r>
        <w:rPr>
          <w:rFonts w:hint="eastAsia"/>
          <w:szCs w:val="21"/>
        </w:rPr>
        <w:t>区域的</w:t>
      </w:r>
      <w:r>
        <w:rPr>
          <w:szCs w:val="21"/>
        </w:rPr>
        <w:t>作业</w:t>
      </w:r>
      <w:r>
        <w:rPr>
          <w:rFonts w:hint="eastAsia"/>
          <w:szCs w:val="21"/>
        </w:rPr>
        <w:t>活动</w:t>
      </w:r>
      <w:r>
        <w:rPr>
          <w:szCs w:val="21"/>
        </w:rPr>
        <w:t>参照本规定执行。</w:t>
      </w:r>
    </w:p>
    <w:p>
      <w:pPr>
        <w:snapToGrid w:val="0"/>
        <w:spacing w:line="560" w:lineRule="exact"/>
        <w:ind w:firstLine="636" w:firstLineChars="200"/>
        <w:rPr>
          <w:szCs w:val="21"/>
        </w:rPr>
      </w:pPr>
    </w:p>
    <w:p>
      <w:pPr>
        <w:snapToGrid w:val="0"/>
        <w:spacing w:line="560" w:lineRule="exact"/>
        <w:jc w:val="center"/>
        <w:rPr>
          <w:rFonts w:eastAsia="黑体"/>
          <w:szCs w:val="21"/>
        </w:rPr>
      </w:pPr>
      <w:r>
        <w:rPr>
          <w:rFonts w:eastAsia="黑体"/>
          <w:szCs w:val="21"/>
        </w:rPr>
        <w:t>第二章备案</w:t>
      </w:r>
      <w:r>
        <w:rPr>
          <w:rFonts w:hint="eastAsia" w:eastAsia="黑体"/>
          <w:szCs w:val="21"/>
        </w:rPr>
        <w:t>管理</w:t>
      </w:r>
    </w:p>
    <w:p>
      <w:pPr>
        <w:snapToGrid w:val="0"/>
        <w:spacing w:line="560" w:lineRule="exact"/>
        <w:ind w:firstLine="636" w:firstLineChars="200"/>
        <w:rPr>
          <w:szCs w:val="21"/>
        </w:rPr>
      </w:pPr>
      <w:r>
        <w:rPr>
          <w:rFonts w:eastAsia="黑体"/>
          <w:szCs w:val="21"/>
        </w:rPr>
        <w:t>第四条</w:t>
      </w:r>
      <w:r>
        <w:rPr>
          <w:rFonts w:hint="eastAsia"/>
          <w:szCs w:val="21"/>
        </w:rPr>
        <w:t>作业</w:t>
      </w:r>
      <w:r>
        <w:rPr>
          <w:szCs w:val="21"/>
        </w:rPr>
        <w:t>单位应在作业实施前10日内</w:t>
      </w:r>
      <w:r>
        <w:rPr>
          <w:rFonts w:hint="eastAsia"/>
          <w:szCs w:val="21"/>
        </w:rPr>
        <w:t>登陆全国核技术利用申报系统、浙江政务服务网提交申请</w:t>
      </w:r>
      <w:r>
        <w:rPr>
          <w:szCs w:val="21"/>
        </w:rPr>
        <w:t>办理</w:t>
      </w:r>
      <w:r>
        <w:rPr>
          <w:rFonts w:hint="eastAsia"/>
          <w:szCs w:val="21"/>
        </w:rPr>
        <w:t>放射源跨省或跨市（县）转移使用</w:t>
      </w:r>
      <w:r>
        <w:rPr>
          <w:szCs w:val="21"/>
        </w:rPr>
        <w:t>备案手续，在</w:t>
      </w:r>
      <w:r>
        <w:rPr>
          <w:rFonts w:hint="eastAsia" w:ascii="仿宋_GB2312"/>
          <w:szCs w:val="32"/>
        </w:rPr>
        <w:t>放射源计划离开基地10</w:t>
      </w:r>
      <w:r>
        <w:rPr>
          <w:szCs w:val="21"/>
        </w:rPr>
        <w:t>日内</w:t>
      </w:r>
      <w:r>
        <w:rPr>
          <w:rFonts w:hint="eastAsia"/>
          <w:szCs w:val="21"/>
        </w:rPr>
        <w:t>及时办理备案</w:t>
      </w:r>
      <w:r>
        <w:rPr>
          <w:szCs w:val="21"/>
        </w:rPr>
        <w:t>注销手续；</w:t>
      </w:r>
      <w:r>
        <w:rPr>
          <w:rFonts w:hint="eastAsia"/>
          <w:szCs w:val="21"/>
        </w:rPr>
        <w:t>作业单位</w:t>
      </w:r>
      <w:r>
        <w:rPr>
          <w:szCs w:val="21"/>
        </w:rPr>
        <w:t>每次办理备案的异地使用活动实施期限原则上不超过1年。</w:t>
      </w:r>
    </w:p>
    <w:p>
      <w:pPr>
        <w:snapToGrid w:val="0"/>
        <w:spacing w:line="560" w:lineRule="exact"/>
        <w:ind w:firstLine="636" w:firstLineChars="200"/>
        <w:rPr>
          <w:szCs w:val="21"/>
        </w:rPr>
      </w:pPr>
      <w:r>
        <w:rPr>
          <w:rFonts w:eastAsia="黑体"/>
          <w:szCs w:val="21"/>
        </w:rPr>
        <w:t>第五条</w:t>
      </w:r>
      <w:r>
        <w:rPr>
          <w:szCs w:val="21"/>
        </w:rPr>
        <w:t>作业单位首次作业前，应向舟山市生态环境局岱山分局提交备案作业期间的详细工作计划、所有放射源信息、操作员和安全员辐射安全培训证书、辐射事故应急预案等资料，</w:t>
      </w:r>
      <w:r>
        <w:rPr>
          <w:rFonts w:hint="eastAsia"/>
          <w:szCs w:val="21"/>
        </w:rPr>
        <w:t>并报送</w:t>
      </w:r>
      <w:r>
        <w:rPr>
          <w:szCs w:val="21"/>
        </w:rPr>
        <w:t>绿色石化基地管委会生态环境局，接受</w:t>
      </w:r>
      <w:r>
        <w:rPr>
          <w:rFonts w:hint="eastAsia"/>
          <w:szCs w:val="21"/>
        </w:rPr>
        <w:t>有关部门的</w:t>
      </w:r>
      <w:r>
        <w:rPr>
          <w:szCs w:val="21"/>
        </w:rPr>
        <w:t>监督管理和现场检查</w:t>
      </w:r>
      <w:r>
        <w:rPr>
          <w:rFonts w:hint="eastAsia"/>
          <w:szCs w:val="21"/>
        </w:rPr>
        <w:t>。</w:t>
      </w:r>
    </w:p>
    <w:p>
      <w:pPr>
        <w:snapToGrid w:val="0"/>
        <w:spacing w:line="560" w:lineRule="exact"/>
        <w:ind w:firstLine="636" w:firstLineChars="200"/>
        <w:rPr>
          <w:szCs w:val="21"/>
        </w:rPr>
      </w:pPr>
    </w:p>
    <w:p>
      <w:pPr>
        <w:snapToGrid w:val="0"/>
        <w:spacing w:line="560" w:lineRule="exact"/>
        <w:jc w:val="center"/>
        <w:rPr>
          <w:rFonts w:eastAsia="黑体"/>
          <w:szCs w:val="21"/>
        </w:rPr>
      </w:pPr>
      <w:r>
        <w:rPr>
          <w:rFonts w:eastAsia="黑体"/>
          <w:szCs w:val="21"/>
        </w:rPr>
        <w:t>第三章人员</w:t>
      </w:r>
      <w:r>
        <w:rPr>
          <w:rFonts w:hint="eastAsia" w:eastAsia="黑体"/>
          <w:szCs w:val="21"/>
        </w:rPr>
        <w:t>和制度管理</w:t>
      </w:r>
    </w:p>
    <w:p>
      <w:pPr>
        <w:snapToGrid w:val="0"/>
        <w:spacing w:line="560" w:lineRule="exact"/>
        <w:ind w:firstLine="636" w:firstLineChars="200"/>
        <w:rPr>
          <w:szCs w:val="21"/>
        </w:rPr>
      </w:pPr>
      <w:r>
        <w:rPr>
          <w:rFonts w:eastAsia="黑体"/>
          <w:szCs w:val="21"/>
        </w:rPr>
        <w:t>第</w:t>
      </w:r>
      <w:r>
        <w:rPr>
          <w:rFonts w:hint="eastAsia" w:eastAsia="黑体"/>
          <w:szCs w:val="21"/>
        </w:rPr>
        <w:t>六</w:t>
      </w:r>
      <w:r>
        <w:rPr>
          <w:rFonts w:eastAsia="黑体"/>
          <w:szCs w:val="21"/>
        </w:rPr>
        <w:t>条</w:t>
      </w:r>
      <w:r>
        <w:rPr>
          <w:rFonts w:hint="eastAsia"/>
          <w:szCs w:val="21"/>
        </w:rPr>
        <w:t>作业</w:t>
      </w:r>
      <w:r>
        <w:rPr>
          <w:szCs w:val="21"/>
        </w:rPr>
        <w:t>单位应</w:t>
      </w:r>
      <w:r>
        <w:rPr>
          <w:rFonts w:hint="eastAsia"/>
          <w:szCs w:val="21"/>
        </w:rPr>
        <w:t>在绿色石化基地</w:t>
      </w:r>
      <w:r>
        <w:rPr>
          <w:szCs w:val="21"/>
        </w:rPr>
        <w:t>建立辐射安全临时管理机构，明确辐射安全第一责任人，落实专职辐射安全管理人员及其工作职责</w:t>
      </w:r>
      <w:r>
        <w:rPr>
          <w:rFonts w:hint="eastAsia"/>
          <w:szCs w:val="21"/>
        </w:rPr>
        <w:t>。</w:t>
      </w:r>
      <w:r>
        <w:rPr>
          <w:szCs w:val="21"/>
        </w:rPr>
        <w:t>辐射安全负责人</w:t>
      </w:r>
      <w:r>
        <w:rPr>
          <w:rFonts w:hint="eastAsia"/>
          <w:szCs w:val="21"/>
        </w:rPr>
        <w:t>应</w:t>
      </w:r>
      <w:r>
        <w:rPr>
          <w:szCs w:val="21"/>
        </w:rPr>
        <w:t>制订</w:t>
      </w:r>
      <w:r>
        <w:rPr>
          <w:rFonts w:hint="eastAsia"/>
          <w:szCs w:val="21"/>
        </w:rPr>
        <w:t>符合岛上实际的辐射安全</w:t>
      </w:r>
      <w:r>
        <w:rPr>
          <w:szCs w:val="21"/>
        </w:rPr>
        <w:t>管理制度、</w:t>
      </w:r>
      <w:r>
        <w:rPr>
          <w:rFonts w:hint="eastAsia"/>
          <w:szCs w:val="21"/>
        </w:rPr>
        <w:t>应急方案和工作台账；落实</w:t>
      </w:r>
      <w:r>
        <w:rPr>
          <w:szCs w:val="21"/>
        </w:rPr>
        <w:t>人员</w:t>
      </w:r>
      <w:r>
        <w:rPr>
          <w:rFonts w:hint="eastAsia"/>
          <w:szCs w:val="21"/>
        </w:rPr>
        <w:t>安全</w:t>
      </w:r>
      <w:r>
        <w:rPr>
          <w:szCs w:val="21"/>
        </w:rPr>
        <w:t>管理、培植核安全文化，每年至少组织一次辐射安全</w:t>
      </w:r>
      <w:r>
        <w:rPr>
          <w:rFonts w:hint="eastAsia"/>
          <w:szCs w:val="21"/>
        </w:rPr>
        <w:t>集中</w:t>
      </w:r>
      <w:r>
        <w:rPr>
          <w:szCs w:val="21"/>
        </w:rPr>
        <w:t>学习培训</w:t>
      </w:r>
      <w:r>
        <w:rPr>
          <w:rFonts w:hint="eastAsia"/>
          <w:szCs w:val="21"/>
        </w:rPr>
        <w:t>和辐射事故应急演练</w:t>
      </w:r>
      <w:r>
        <w:rPr>
          <w:szCs w:val="21"/>
        </w:rPr>
        <w:t>。</w:t>
      </w:r>
    </w:p>
    <w:p>
      <w:pPr>
        <w:snapToGrid w:val="0"/>
        <w:spacing w:line="560" w:lineRule="exact"/>
        <w:ind w:firstLine="636" w:firstLineChars="200"/>
        <w:rPr>
          <w:szCs w:val="21"/>
        </w:rPr>
      </w:pPr>
      <w:r>
        <w:rPr>
          <w:rFonts w:eastAsia="黑体"/>
          <w:szCs w:val="21"/>
        </w:rPr>
        <w:t>第</w:t>
      </w:r>
      <w:r>
        <w:rPr>
          <w:rFonts w:hint="eastAsia" w:eastAsia="黑体"/>
          <w:szCs w:val="21"/>
        </w:rPr>
        <w:t>七</w:t>
      </w:r>
      <w:r>
        <w:rPr>
          <w:rFonts w:eastAsia="黑体"/>
          <w:szCs w:val="21"/>
        </w:rPr>
        <w:t>条</w:t>
      </w:r>
      <w:r>
        <w:rPr>
          <w:rFonts w:hint="eastAsia"/>
          <w:szCs w:val="21"/>
        </w:rPr>
        <w:t>作业</w:t>
      </w:r>
      <w:r>
        <w:rPr>
          <w:szCs w:val="21"/>
        </w:rPr>
        <w:t>单位</w:t>
      </w:r>
      <w:r>
        <w:rPr>
          <w:rFonts w:hint="eastAsia"/>
          <w:szCs w:val="21"/>
        </w:rPr>
        <w:t>须</w:t>
      </w:r>
      <w:r>
        <w:rPr>
          <w:szCs w:val="21"/>
        </w:rPr>
        <w:t>明确</w:t>
      </w:r>
      <w:r>
        <w:rPr>
          <w:rFonts w:hint="eastAsia"/>
          <w:szCs w:val="21"/>
        </w:rPr>
        <w:t>至少</w:t>
      </w:r>
      <w:r>
        <w:rPr>
          <w:szCs w:val="21"/>
        </w:rPr>
        <w:t>1名辐射安全负责人，负责各</w:t>
      </w:r>
      <w:r>
        <w:rPr>
          <w:rFonts w:hint="eastAsia"/>
          <w:szCs w:val="21"/>
        </w:rPr>
        <w:t>作业</w:t>
      </w:r>
      <w:r>
        <w:rPr>
          <w:szCs w:val="21"/>
        </w:rPr>
        <w:t>点辐射安全管理工作，每天检查操作人员和现场安全员的操作和记录情况。定期核查各</w:t>
      </w:r>
      <w:r>
        <w:rPr>
          <w:rFonts w:hint="eastAsia"/>
          <w:szCs w:val="21"/>
        </w:rPr>
        <w:t>作业</w:t>
      </w:r>
      <w:r>
        <w:rPr>
          <w:szCs w:val="21"/>
        </w:rPr>
        <w:t>点有关资料</w:t>
      </w:r>
      <w:r>
        <w:rPr>
          <w:rFonts w:hint="eastAsia"/>
          <w:szCs w:val="21"/>
        </w:rPr>
        <w:t>和安全管理情况</w:t>
      </w:r>
      <w:r>
        <w:rPr>
          <w:szCs w:val="21"/>
        </w:rPr>
        <w:t>，</w:t>
      </w:r>
      <w:r>
        <w:rPr>
          <w:rFonts w:hint="eastAsia"/>
          <w:szCs w:val="21"/>
        </w:rPr>
        <w:t>并</w:t>
      </w:r>
      <w:r>
        <w:rPr>
          <w:szCs w:val="21"/>
        </w:rPr>
        <w:t>形成书面</w:t>
      </w:r>
      <w:r>
        <w:rPr>
          <w:rFonts w:hint="eastAsia"/>
          <w:szCs w:val="21"/>
        </w:rPr>
        <w:t>自查</w:t>
      </w:r>
      <w:r>
        <w:rPr>
          <w:szCs w:val="21"/>
        </w:rPr>
        <w:t>报告。</w:t>
      </w:r>
    </w:p>
    <w:p>
      <w:pPr>
        <w:snapToGrid w:val="0"/>
        <w:spacing w:line="560" w:lineRule="exact"/>
        <w:ind w:firstLine="636" w:firstLineChars="200"/>
        <w:rPr>
          <w:szCs w:val="21"/>
        </w:rPr>
      </w:pPr>
      <w:r>
        <w:rPr>
          <w:rFonts w:eastAsia="黑体"/>
          <w:szCs w:val="21"/>
        </w:rPr>
        <w:t>第</w:t>
      </w:r>
      <w:r>
        <w:rPr>
          <w:rFonts w:hint="eastAsia" w:eastAsia="黑体"/>
          <w:szCs w:val="21"/>
        </w:rPr>
        <w:t>八</w:t>
      </w:r>
      <w:r>
        <w:rPr>
          <w:rFonts w:eastAsia="黑体"/>
          <w:szCs w:val="21"/>
        </w:rPr>
        <w:t>条</w:t>
      </w:r>
      <w:r>
        <w:rPr>
          <w:rFonts w:hint="eastAsia"/>
          <w:szCs w:val="21"/>
        </w:rPr>
        <w:t xml:space="preserve"> 每个</w:t>
      </w:r>
      <w:r>
        <w:rPr>
          <w:szCs w:val="21"/>
        </w:rPr>
        <w:t>作业点必须配备现场安全员，主要负责</w:t>
      </w:r>
      <w:r>
        <w:rPr>
          <w:rFonts w:hint="eastAsia"/>
          <w:szCs w:val="21"/>
        </w:rPr>
        <w:t>控制区和监督区“两区”</w:t>
      </w:r>
      <w:r>
        <w:rPr>
          <w:szCs w:val="21"/>
        </w:rPr>
        <w:t>划分</w:t>
      </w:r>
      <w:r>
        <w:rPr>
          <w:rFonts w:hint="eastAsia"/>
          <w:szCs w:val="21"/>
        </w:rPr>
        <w:t>，</w:t>
      </w:r>
      <w:r>
        <w:rPr>
          <w:szCs w:val="21"/>
        </w:rPr>
        <w:t>场所限制区域的人员</w:t>
      </w:r>
      <w:r>
        <w:rPr>
          <w:rFonts w:hint="eastAsia"/>
          <w:szCs w:val="21"/>
        </w:rPr>
        <w:t>清场和现场巡检管控，</w:t>
      </w:r>
      <w:r>
        <w:rPr>
          <w:szCs w:val="21"/>
        </w:rPr>
        <w:t>场所辐射剂量水平监测</w:t>
      </w:r>
      <w:r>
        <w:rPr>
          <w:rFonts w:hint="eastAsia"/>
          <w:szCs w:val="21"/>
        </w:rPr>
        <w:t>，</w:t>
      </w:r>
      <w:r>
        <w:rPr>
          <w:rFonts w:hint="eastAsia" w:cs="仿宋_GB2312"/>
        </w:rPr>
        <w:t>探伤机表面剂量监测以及记录上传</w:t>
      </w:r>
      <w:r>
        <w:rPr>
          <w:szCs w:val="21"/>
        </w:rPr>
        <w:t>等安全相关工作，并承担探伤</w:t>
      </w:r>
      <w:r>
        <w:rPr>
          <w:rFonts w:hint="eastAsia"/>
          <w:szCs w:val="21"/>
        </w:rPr>
        <w:t>机</w:t>
      </w:r>
      <w:r>
        <w:rPr>
          <w:szCs w:val="21"/>
        </w:rPr>
        <w:t>的领取、归还以及确认探伤源是否返回装置等工作。</w:t>
      </w:r>
    </w:p>
    <w:p>
      <w:pPr>
        <w:snapToGrid w:val="0"/>
        <w:spacing w:line="560" w:lineRule="exact"/>
        <w:ind w:firstLine="636" w:firstLineChars="200"/>
        <w:rPr>
          <w:szCs w:val="21"/>
        </w:rPr>
      </w:pPr>
      <w:r>
        <w:rPr>
          <w:rFonts w:eastAsia="黑体"/>
          <w:szCs w:val="21"/>
        </w:rPr>
        <w:t>第</w:t>
      </w:r>
      <w:r>
        <w:rPr>
          <w:rFonts w:hint="eastAsia" w:eastAsia="黑体"/>
          <w:szCs w:val="21"/>
        </w:rPr>
        <w:t>九</w:t>
      </w:r>
      <w:r>
        <w:rPr>
          <w:rFonts w:eastAsia="黑体"/>
          <w:szCs w:val="21"/>
        </w:rPr>
        <w:t>条</w:t>
      </w:r>
      <w:r>
        <w:rPr>
          <w:rFonts w:hint="eastAsia"/>
          <w:szCs w:val="21"/>
        </w:rPr>
        <w:t>作业</w:t>
      </w:r>
      <w:r>
        <w:rPr>
          <w:szCs w:val="21"/>
        </w:rPr>
        <w:t>单位辐射安全负责人、现场安全员和操作人员必须持中级或者高级辐射安全培训合格证。严禁无证人员从事辐射相关活动</w:t>
      </w:r>
      <w:r>
        <w:rPr>
          <w:rFonts w:hint="eastAsia"/>
          <w:szCs w:val="21"/>
        </w:rPr>
        <w:t>，不同作业单位之间原则上不得以任何形式租借使用辐射工作人员。</w:t>
      </w:r>
    </w:p>
    <w:p>
      <w:pPr>
        <w:snapToGrid w:val="0"/>
        <w:spacing w:line="560" w:lineRule="exact"/>
        <w:ind w:firstLine="636" w:firstLineChars="200"/>
        <w:rPr>
          <w:rFonts w:hint="default" w:eastAsia="仿宋_GB2312"/>
          <w:szCs w:val="21"/>
          <w:lang w:val="en-US" w:eastAsia="zh-CN"/>
        </w:rPr>
      </w:pPr>
      <w:r>
        <w:rPr>
          <w:rFonts w:eastAsia="黑体"/>
          <w:szCs w:val="21"/>
        </w:rPr>
        <w:t>第十条</w:t>
      </w:r>
      <w:r>
        <w:rPr>
          <w:szCs w:val="21"/>
        </w:rPr>
        <w:t>作业</w:t>
      </w:r>
      <w:r>
        <w:rPr>
          <w:rFonts w:hint="eastAsia"/>
          <w:szCs w:val="21"/>
        </w:rPr>
        <w:t>单位</w:t>
      </w:r>
      <w:r>
        <w:rPr>
          <w:szCs w:val="21"/>
        </w:rPr>
        <w:t>应</w:t>
      </w:r>
      <w:r>
        <w:rPr>
          <w:rFonts w:hint="eastAsia"/>
          <w:szCs w:val="21"/>
        </w:rPr>
        <w:t>落实</w:t>
      </w:r>
      <w:r>
        <w:rPr>
          <w:szCs w:val="21"/>
        </w:rPr>
        <w:t>专人负责</w:t>
      </w:r>
      <w:r>
        <w:rPr>
          <w:rFonts w:hint="eastAsia"/>
          <w:szCs w:val="21"/>
        </w:rPr>
        <w:t>“舟山绿色石化基地移动放射源监管系统”（以下简称“监管系统”）的使用</w:t>
      </w:r>
      <w:r>
        <w:rPr>
          <w:szCs w:val="21"/>
        </w:rPr>
        <w:t>和维护</w:t>
      </w:r>
      <w:r>
        <w:rPr>
          <w:rFonts w:hint="eastAsia"/>
          <w:szCs w:val="21"/>
        </w:rPr>
        <w:t>，定期上传和更新</w:t>
      </w:r>
      <w:r>
        <w:rPr>
          <w:szCs w:val="21"/>
        </w:rPr>
        <w:t>相关的</w:t>
      </w:r>
      <w:r>
        <w:rPr>
          <w:rFonts w:hint="eastAsia"/>
          <w:szCs w:val="21"/>
        </w:rPr>
        <w:t>放射源信息、管理制度、人员证书和</w:t>
      </w:r>
      <w:r>
        <w:rPr>
          <w:szCs w:val="21"/>
        </w:rPr>
        <w:t>辐射</w:t>
      </w:r>
      <w:r>
        <w:rPr>
          <w:rFonts w:hint="eastAsia"/>
          <w:szCs w:val="21"/>
        </w:rPr>
        <w:t>工作台账等</w:t>
      </w:r>
      <w:r>
        <w:rPr>
          <w:szCs w:val="21"/>
        </w:rPr>
        <w:t>资料</w:t>
      </w:r>
      <w:r>
        <w:rPr>
          <w:rFonts w:hint="eastAsia"/>
          <w:szCs w:val="21"/>
        </w:rPr>
        <w:t>；</w:t>
      </w:r>
      <w:r>
        <w:rPr>
          <w:szCs w:val="21"/>
        </w:rPr>
        <w:t>放射源出入库、运输、作业完毕等关键环节按</w:t>
      </w:r>
      <w:r>
        <w:rPr>
          <w:rFonts w:hint="eastAsia"/>
          <w:szCs w:val="21"/>
        </w:rPr>
        <w:t>规范要求做好辐射</w:t>
      </w:r>
      <w:r>
        <w:rPr>
          <w:szCs w:val="21"/>
        </w:rPr>
        <w:t>监测</w:t>
      </w:r>
      <w:r>
        <w:rPr>
          <w:rFonts w:hint="eastAsia"/>
          <w:szCs w:val="21"/>
        </w:rPr>
        <w:t>和数据上传，</w:t>
      </w:r>
      <w:r>
        <w:rPr>
          <w:szCs w:val="21"/>
        </w:rPr>
        <w:t>及时处理</w:t>
      </w:r>
      <w:r>
        <w:rPr>
          <w:rFonts w:hint="eastAsia"/>
          <w:szCs w:val="21"/>
        </w:rPr>
        <w:t>监管</w:t>
      </w:r>
      <w:r>
        <w:rPr>
          <w:szCs w:val="21"/>
        </w:rPr>
        <w:t>系统异常报警信息</w:t>
      </w:r>
      <w:r>
        <w:rPr>
          <w:rFonts w:hint="eastAsia"/>
          <w:szCs w:val="21"/>
        </w:rPr>
        <w:t>。</w:t>
      </w:r>
    </w:p>
    <w:p>
      <w:pPr>
        <w:snapToGrid w:val="0"/>
        <w:spacing w:line="560" w:lineRule="exact"/>
        <w:ind w:firstLine="636" w:firstLineChars="200"/>
        <w:rPr>
          <w:szCs w:val="21"/>
        </w:rPr>
      </w:pPr>
      <w:r>
        <w:rPr>
          <w:rFonts w:eastAsia="黑体"/>
          <w:szCs w:val="21"/>
        </w:rPr>
        <w:t>第十</w:t>
      </w:r>
      <w:r>
        <w:rPr>
          <w:rFonts w:hint="eastAsia" w:eastAsia="黑体"/>
          <w:szCs w:val="21"/>
        </w:rPr>
        <w:t>一</w:t>
      </w:r>
      <w:r>
        <w:rPr>
          <w:rFonts w:eastAsia="黑体"/>
          <w:szCs w:val="21"/>
        </w:rPr>
        <w:t>条</w:t>
      </w:r>
      <w:r>
        <w:rPr>
          <w:szCs w:val="21"/>
        </w:rPr>
        <w:t>委托单位应选择</w:t>
      </w:r>
      <w:r>
        <w:rPr>
          <w:rFonts w:hint="eastAsia"/>
          <w:szCs w:val="21"/>
        </w:rPr>
        <w:t>未列入舟山市放射源移动探伤黑名单</w:t>
      </w:r>
      <w:r>
        <w:rPr>
          <w:szCs w:val="21"/>
        </w:rPr>
        <w:t>的作业单位，与</w:t>
      </w:r>
      <w:r>
        <w:rPr>
          <w:rFonts w:hint="eastAsia"/>
          <w:szCs w:val="21"/>
        </w:rPr>
        <w:t>之</w:t>
      </w:r>
      <w:r>
        <w:rPr>
          <w:szCs w:val="21"/>
        </w:rPr>
        <w:t>签订职责明确的责任书，明确专人负责探伤管理，</w:t>
      </w:r>
      <w:r>
        <w:rPr>
          <w:rFonts w:hint="eastAsia"/>
          <w:szCs w:val="21"/>
        </w:rPr>
        <w:t>责任书应提交当地生态环境部门备案。</w:t>
      </w:r>
    </w:p>
    <w:p>
      <w:pPr>
        <w:snapToGrid w:val="0"/>
        <w:spacing w:line="560" w:lineRule="exact"/>
        <w:ind w:firstLine="630"/>
        <w:rPr>
          <w:szCs w:val="21"/>
        </w:rPr>
      </w:pPr>
    </w:p>
    <w:p>
      <w:pPr>
        <w:snapToGrid w:val="0"/>
        <w:spacing w:line="560" w:lineRule="exact"/>
        <w:jc w:val="center"/>
        <w:rPr>
          <w:rFonts w:eastAsia="黑体"/>
          <w:szCs w:val="21"/>
        </w:rPr>
      </w:pPr>
      <w:r>
        <w:rPr>
          <w:rFonts w:eastAsia="黑体"/>
          <w:szCs w:val="21"/>
        </w:rPr>
        <w:t>第四章技术</w:t>
      </w:r>
      <w:r>
        <w:rPr>
          <w:rFonts w:hint="eastAsia" w:eastAsia="黑体"/>
          <w:szCs w:val="21"/>
        </w:rPr>
        <w:t>标准</w:t>
      </w:r>
    </w:p>
    <w:p>
      <w:pPr>
        <w:snapToGrid w:val="0"/>
        <w:spacing w:line="560" w:lineRule="exact"/>
        <w:ind w:firstLine="636" w:firstLineChars="200"/>
        <w:rPr>
          <w:szCs w:val="21"/>
        </w:rPr>
      </w:pPr>
      <w:r>
        <w:rPr>
          <w:rFonts w:eastAsia="黑体"/>
          <w:szCs w:val="21"/>
        </w:rPr>
        <w:t>第十</w:t>
      </w:r>
      <w:r>
        <w:rPr>
          <w:rFonts w:hint="eastAsia" w:eastAsia="黑体"/>
          <w:szCs w:val="21"/>
        </w:rPr>
        <w:t>二</w:t>
      </w:r>
      <w:r>
        <w:rPr>
          <w:rFonts w:eastAsia="黑体"/>
          <w:szCs w:val="21"/>
        </w:rPr>
        <w:t>条</w:t>
      </w:r>
      <w:r>
        <w:rPr>
          <w:szCs w:val="21"/>
        </w:rPr>
        <w:t>每台探伤机须配备2名以上操作人员；探伤作业时，所有操作人员应配备个人剂量报警仪和个人剂量计，</w:t>
      </w:r>
      <w:r>
        <w:rPr>
          <w:rFonts w:hint="eastAsia"/>
          <w:szCs w:val="21"/>
        </w:rPr>
        <w:t>现场安全员配备便携式辐射巡测仪和个人剂量计，</w:t>
      </w:r>
      <w:r>
        <w:rPr>
          <w:szCs w:val="21"/>
        </w:rPr>
        <w:t>并佩戴标注照片、姓名、培训类别和所属单位等人员信息牌。</w:t>
      </w:r>
    </w:p>
    <w:p>
      <w:pPr>
        <w:snapToGrid w:val="0"/>
        <w:spacing w:line="560" w:lineRule="exact"/>
        <w:ind w:firstLine="636" w:firstLineChars="200"/>
        <w:rPr>
          <w:szCs w:val="21"/>
        </w:rPr>
      </w:pPr>
      <w:r>
        <w:rPr>
          <w:rFonts w:eastAsia="黑体"/>
          <w:szCs w:val="21"/>
        </w:rPr>
        <w:t>第十</w:t>
      </w:r>
      <w:r>
        <w:rPr>
          <w:rFonts w:hint="eastAsia" w:eastAsia="黑体"/>
          <w:szCs w:val="21"/>
        </w:rPr>
        <w:t>三</w:t>
      </w:r>
      <w:r>
        <w:rPr>
          <w:rFonts w:eastAsia="黑体"/>
          <w:szCs w:val="21"/>
        </w:rPr>
        <w:t>条</w:t>
      </w:r>
      <w:r>
        <w:rPr>
          <w:szCs w:val="21"/>
        </w:rPr>
        <w:t>探伤作业时，</w:t>
      </w:r>
      <w:r>
        <w:rPr>
          <w:rFonts w:hint="eastAsia"/>
          <w:szCs w:val="21"/>
        </w:rPr>
        <w:t>原则上</w:t>
      </w:r>
      <w:r>
        <w:rPr>
          <w:szCs w:val="21"/>
        </w:rPr>
        <w:t>每台探伤机至少有2名操作人员</w:t>
      </w:r>
      <w:r>
        <w:rPr>
          <w:rFonts w:hint="eastAsia"/>
          <w:szCs w:val="21"/>
        </w:rPr>
        <w:t>和1名现场安全员</w:t>
      </w:r>
      <w:r>
        <w:rPr>
          <w:szCs w:val="21"/>
        </w:rPr>
        <w:t>同时在场，</w:t>
      </w:r>
      <w:r>
        <w:rPr>
          <w:rFonts w:hint="eastAsia"/>
          <w:szCs w:val="21"/>
        </w:rPr>
        <w:t>同一作业点、同一单位有多台探伤机使用的，现场安全员配备在满足辐射安全管控要求的前提下可适当减少。</w:t>
      </w:r>
      <w:r>
        <w:rPr>
          <w:szCs w:val="21"/>
        </w:rPr>
        <w:t>作业现场按</w:t>
      </w:r>
      <w:r>
        <w:rPr>
          <w:rFonts w:hint="eastAsia"/>
          <w:szCs w:val="21"/>
        </w:rPr>
        <w:t>规定划定</w:t>
      </w:r>
      <w:r>
        <w:rPr>
          <w:szCs w:val="21"/>
        </w:rPr>
        <w:t>控制区和监督区，设置明显的警戒线和辐射警示标识，专人看守</w:t>
      </w:r>
      <w:r>
        <w:rPr>
          <w:rFonts w:hint="eastAsia"/>
          <w:szCs w:val="21"/>
        </w:rPr>
        <w:t>和</w:t>
      </w:r>
      <w:r>
        <w:rPr>
          <w:szCs w:val="21"/>
        </w:rPr>
        <w:t>监测控制区的辐射剂量</w:t>
      </w:r>
      <w:r>
        <w:rPr>
          <w:rFonts w:hint="eastAsia"/>
          <w:szCs w:val="21"/>
        </w:rPr>
        <w:t>率</w:t>
      </w:r>
      <w:r>
        <w:rPr>
          <w:szCs w:val="21"/>
        </w:rPr>
        <w:t>水平，并对作业分区情况进行记录。</w:t>
      </w:r>
    </w:p>
    <w:p>
      <w:pPr>
        <w:snapToGrid w:val="0"/>
        <w:spacing w:line="560" w:lineRule="exact"/>
        <w:ind w:firstLine="636" w:firstLineChars="200"/>
        <w:rPr>
          <w:szCs w:val="21"/>
        </w:rPr>
      </w:pPr>
      <w:r>
        <w:rPr>
          <w:rFonts w:eastAsia="黑体"/>
          <w:szCs w:val="21"/>
        </w:rPr>
        <w:t>第十</w:t>
      </w:r>
      <w:r>
        <w:rPr>
          <w:rFonts w:hint="eastAsia" w:eastAsia="黑体"/>
          <w:szCs w:val="21"/>
        </w:rPr>
        <w:t>四</w:t>
      </w:r>
      <w:r>
        <w:rPr>
          <w:rFonts w:eastAsia="黑体"/>
          <w:szCs w:val="21"/>
        </w:rPr>
        <w:t>条</w:t>
      </w:r>
      <w:r>
        <w:rPr>
          <w:szCs w:val="21"/>
        </w:rPr>
        <w:t>室外探伤时（应急探伤作业除外），必须在作业现场边界外公众可达地点放置面积不小于2平方米的安全信息公示牌，公告作业单位名称、作业时间、区域、负责人和联系电话等信息；作业计划</w:t>
      </w:r>
      <w:r>
        <w:rPr>
          <w:rFonts w:hint="eastAsia"/>
          <w:szCs w:val="21"/>
        </w:rPr>
        <w:t>由</w:t>
      </w:r>
      <w:r>
        <w:rPr>
          <w:szCs w:val="21"/>
        </w:rPr>
        <w:t>委托单位</w:t>
      </w:r>
      <w:r>
        <w:rPr>
          <w:rFonts w:hint="eastAsia"/>
          <w:szCs w:val="21"/>
        </w:rPr>
        <w:t>统一发布并告知作业单位，</w:t>
      </w:r>
      <w:r>
        <w:rPr>
          <w:szCs w:val="21"/>
        </w:rPr>
        <w:t>委托单位应当通</w:t>
      </w:r>
      <w:r>
        <w:rPr>
          <w:rFonts w:hint="eastAsia"/>
          <w:szCs w:val="21"/>
        </w:rPr>
        <w:t>告</w:t>
      </w:r>
      <w:r>
        <w:rPr>
          <w:szCs w:val="21"/>
        </w:rPr>
        <w:t>本单位</w:t>
      </w:r>
      <w:r>
        <w:rPr>
          <w:rFonts w:hint="eastAsia"/>
          <w:szCs w:val="21"/>
        </w:rPr>
        <w:t>工作</w:t>
      </w:r>
      <w:r>
        <w:rPr>
          <w:szCs w:val="21"/>
        </w:rPr>
        <w:t>人员</w:t>
      </w:r>
      <w:r>
        <w:rPr>
          <w:rFonts w:hint="eastAsia"/>
          <w:szCs w:val="21"/>
        </w:rPr>
        <w:t>和岛上施工单位人员探伤作业信息</w:t>
      </w:r>
      <w:r>
        <w:rPr>
          <w:szCs w:val="21"/>
        </w:rPr>
        <w:t>，并协助</w:t>
      </w:r>
      <w:r>
        <w:rPr>
          <w:rFonts w:hint="eastAsia"/>
          <w:szCs w:val="21"/>
        </w:rPr>
        <w:t>作业单位</w:t>
      </w:r>
      <w:r>
        <w:rPr>
          <w:szCs w:val="21"/>
        </w:rPr>
        <w:t>做好</w:t>
      </w:r>
      <w:r>
        <w:rPr>
          <w:rFonts w:hint="eastAsia"/>
          <w:szCs w:val="21"/>
        </w:rPr>
        <w:t>现场清场和巡逻警戒</w:t>
      </w:r>
      <w:r>
        <w:rPr>
          <w:szCs w:val="21"/>
        </w:rPr>
        <w:t>工作。</w:t>
      </w:r>
    </w:p>
    <w:p>
      <w:pPr>
        <w:snapToGrid w:val="0"/>
        <w:spacing w:line="560" w:lineRule="exact"/>
        <w:ind w:firstLine="636" w:firstLineChars="200"/>
        <w:rPr>
          <w:szCs w:val="21"/>
        </w:rPr>
      </w:pPr>
      <w:r>
        <w:rPr>
          <w:rFonts w:eastAsia="黑体"/>
          <w:szCs w:val="21"/>
        </w:rPr>
        <w:t>第</w:t>
      </w:r>
      <w:r>
        <w:rPr>
          <w:rFonts w:hint="eastAsia" w:eastAsia="黑体"/>
          <w:szCs w:val="21"/>
        </w:rPr>
        <w:t>十五</w:t>
      </w:r>
      <w:r>
        <w:rPr>
          <w:rFonts w:eastAsia="黑体"/>
          <w:szCs w:val="21"/>
        </w:rPr>
        <w:t>条</w:t>
      </w:r>
      <w:r>
        <w:rPr>
          <w:rFonts w:hint="eastAsia"/>
          <w:szCs w:val="21"/>
        </w:rPr>
        <w:t xml:space="preserve"> 基地内各</w:t>
      </w:r>
      <w:r>
        <w:rPr>
          <w:szCs w:val="21"/>
        </w:rPr>
        <w:t>作业单位放射源</w:t>
      </w:r>
      <w:r>
        <w:rPr>
          <w:rFonts w:hint="eastAsia"/>
          <w:szCs w:val="21"/>
        </w:rPr>
        <w:t>实行统一存放和集中管理，放射源</w:t>
      </w:r>
      <w:r>
        <w:rPr>
          <w:szCs w:val="21"/>
        </w:rPr>
        <w:t>暂存库</w:t>
      </w:r>
      <w:r>
        <w:rPr>
          <w:rFonts w:hint="eastAsia"/>
          <w:szCs w:val="21"/>
        </w:rPr>
        <w:t>由委托单位负责提供，</w:t>
      </w:r>
      <w:r>
        <w:rPr>
          <w:szCs w:val="21"/>
        </w:rPr>
        <w:t>应满足防火、防水、防盗、防丢失、防破坏、防射线泄漏的要求，不得存</w:t>
      </w:r>
      <w:r>
        <w:rPr>
          <w:color w:val="000000"/>
        </w:rPr>
        <w:t>放易燃、易爆、腐蚀性等物品</w:t>
      </w:r>
      <w:r>
        <w:rPr>
          <w:rFonts w:hint="eastAsia"/>
          <w:color w:val="000000"/>
        </w:rPr>
        <w:t>。</w:t>
      </w:r>
      <w:r>
        <w:rPr>
          <w:rFonts w:hint="eastAsia"/>
          <w:szCs w:val="21"/>
        </w:rPr>
        <w:t>应配备防盗门锁、CK报警、电子围栏、辐射剂量率在线监测和</w:t>
      </w:r>
      <w:r>
        <w:rPr>
          <w:szCs w:val="21"/>
        </w:rPr>
        <w:t>有效视频监控</w:t>
      </w:r>
      <w:r>
        <w:rPr>
          <w:rFonts w:hint="eastAsia"/>
          <w:szCs w:val="21"/>
        </w:rPr>
        <w:t>等硬件设施</w:t>
      </w:r>
      <w:r>
        <w:rPr>
          <w:szCs w:val="21"/>
        </w:rPr>
        <w:t>，监控录像保存15天以上</w:t>
      </w:r>
      <w:r>
        <w:rPr>
          <w:rFonts w:hint="eastAsia"/>
          <w:szCs w:val="21"/>
        </w:rPr>
        <w:t>。暂存库</w:t>
      </w:r>
      <w:r>
        <w:rPr>
          <w:szCs w:val="21"/>
        </w:rPr>
        <w:t>由</w:t>
      </w:r>
      <w:r>
        <w:rPr>
          <w:rFonts w:hint="eastAsia"/>
          <w:szCs w:val="21"/>
        </w:rPr>
        <w:t>委托单位派驻专职</w:t>
      </w:r>
      <w:r>
        <w:rPr>
          <w:szCs w:val="21"/>
        </w:rPr>
        <w:t>人员</w:t>
      </w:r>
      <w:r>
        <w:rPr>
          <w:rFonts w:hint="eastAsia"/>
          <w:szCs w:val="21"/>
        </w:rPr>
        <w:t>实行7</w:t>
      </w:r>
      <w:r>
        <w:rPr>
          <w:rFonts w:hint="eastAsia" w:ascii="仿宋_GB2312"/>
          <w:szCs w:val="21"/>
        </w:rPr>
        <w:t>×</w:t>
      </w:r>
      <w:r>
        <w:rPr>
          <w:rFonts w:hint="eastAsia"/>
          <w:szCs w:val="21"/>
        </w:rPr>
        <w:t>24小时值班管理，并定时</w:t>
      </w:r>
      <w:r>
        <w:rPr>
          <w:szCs w:val="21"/>
        </w:rPr>
        <w:t>清点记录放射源</w:t>
      </w:r>
      <w:r>
        <w:rPr>
          <w:rFonts w:hint="eastAsia"/>
          <w:szCs w:val="21"/>
        </w:rPr>
        <w:t>出入库</w:t>
      </w:r>
      <w:r>
        <w:rPr>
          <w:szCs w:val="21"/>
        </w:rPr>
        <w:t>情况</w:t>
      </w:r>
      <w:r>
        <w:rPr>
          <w:rFonts w:hint="eastAsia"/>
          <w:szCs w:val="21"/>
        </w:rPr>
        <w:t>。</w:t>
      </w:r>
    </w:p>
    <w:p>
      <w:pPr>
        <w:snapToGrid w:val="0"/>
        <w:spacing w:line="560" w:lineRule="exact"/>
        <w:ind w:firstLine="636" w:firstLineChars="200"/>
        <w:rPr>
          <w:szCs w:val="21"/>
        </w:rPr>
      </w:pPr>
      <w:r>
        <w:rPr>
          <w:rFonts w:eastAsia="黑体"/>
          <w:szCs w:val="21"/>
        </w:rPr>
        <w:t>第</w:t>
      </w:r>
      <w:r>
        <w:rPr>
          <w:rFonts w:hint="eastAsia" w:eastAsia="黑体"/>
          <w:szCs w:val="21"/>
        </w:rPr>
        <w:t>十六</w:t>
      </w:r>
      <w:r>
        <w:rPr>
          <w:rFonts w:eastAsia="黑体"/>
          <w:szCs w:val="21"/>
        </w:rPr>
        <w:t>条</w:t>
      </w:r>
      <w:r>
        <w:rPr>
          <w:szCs w:val="21"/>
        </w:rPr>
        <w:t>探伤机出入放射源暂存库以及离开作业</w:t>
      </w:r>
      <w:r>
        <w:rPr>
          <w:rFonts w:hint="eastAsia"/>
          <w:szCs w:val="21"/>
        </w:rPr>
        <w:t>点</w:t>
      </w:r>
      <w:r>
        <w:rPr>
          <w:szCs w:val="21"/>
        </w:rPr>
        <w:t>时，作业单位</w:t>
      </w:r>
      <w:r>
        <w:rPr>
          <w:rFonts w:hint="eastAsia"/>
          <w:szCs w:val="21"/>
        </w:rPr>
        <w:t>现场安全员</w:t>
      </w:r>
      <w:r>
        <w:rPr>
          <w:szCs w:val="21"/>
        </w:rPr>
        <w:t>必须对探伤机进行辐射剂量</w:t>
      </w:r>
      <w:r>
        <w:rPr>
          <w:rFonts w:hint="eastAsia"/>
          <w:szCs w:val="21"/>
        </w:rPr>
        <w:t>率</w:t>
      </w:r>
      <w:r>
        <w:rPr>
          <w:szCs w:val="21"/>
        </w:rPr>
        <w:t>监测，并记录剂量</w:t>
      </w:r>
      <w:r>
        <w:rPr>
          <w:rFonts w:hint="eastAsia"/>
          <w:szCs w:val="21"/>
          <w:lang w:val="en-US" w:eastAsia="zh-CN"/>
        </w:rPr>
        <w:t>率</w:t>
      </w:r>
      <w:r>
        <w:rPr>
          <w:szCs w:val="21"/>
        </w:rPr>
        <w:t>监测值和转移时间等信息</w:t>
      </w:r>
      <w:r>
        <w:rPr>
          <w:rFonts w:hint="eastAsia"/>
          <w:szCs w:val="21"/>
        </w:rPr>
        <w:t>，并实时上传监管系统。</w:t>
      </w:r>
    </w:p>
    <w:p>
      <w:pPr>
        <w:snapToGrid w:val="0"/>
        <w:spacing w:line="560" w:lineRule="exact"/>
        <w:ind w:firstLine="636" w:firstLineChars="200"/>
        <w:rPr>
          <w:szCs w:val="21"/>
        </w:rPr>
      </w:pPr>
      <w:r>
        <w:rPr>
          <w:rFonts w:eastAsia="黑体"/>
          <w:szCs w:val="21"/>
        </w:rPr>
        <w:t>第</w:t>
      </w:r>
      <w:r>
        <w:rPr>
          <w:rFonts w:hint="eastAsia" w:eastAsia="黑体"/>
          <w:szCs w:val="21"/>
        </w:rPr>
        <w:t>十七</w:t>
      </w:r>
      <w:r>
        <w:rPr>
          <w:rFonts w:eastAsia="黑体"/>
          <w:szCs w:val="21"/>
        </w:rPr>
        <w:t>条</w:t>
      </w:r>
      <w:r>
        <w:rPr>
          <w:rFonts w:hint="eastAsia"/>
          <w:szCs w:val="21"/>
        </w:rPr>
        <w:t>作业单位应</w:t>
      </w:r>
      <w:r>
        <w:rPr>
          <w:szCs w:val="21"/>
        </w:rPr>
        <w:t>配备专用的探伤放射源运输车辆</w:t>
      </w:r>
      <w:r>
        <w:rPr>
          <w:rFonts w:hint="eastAsia"/>
          <w:szCs w:val="21"/>
        </w:rPr>
        <w:t>，</w:t>
      </w:r>
      <w:r>
        <w:rPr>
          <w:szCs w:val="21"/>
        </w:rPr>
        <w:t>车上</w:t>
      </w:r>
      <w:r>
        <w:rPr>
          <w:rFonts w:hint="eastAsia"/>
          <w:szCs w:val="21"/>
        </w:rPr>
        <w:t>设</w:t>
      </w:r>
      <w:r>
        <w:rPr>
          <w:szCs w:val="21"/>
        </w:rPr>
        <w:t>有</w:t>
      </w:r>
      <w:r>
        <w:rPr>
          <w:rFonts w:hint="eastAsia"/>
          <w:szCs w:val="21"/>
        </w:rPr>
        <w:t>临时存放</w:t>
      </w:r>
      <w:r>
        <w:rPr>
          <w:szCs w:val="21"/>
        </w:rPr>
        <w:t>放射源的金属箱体</w:t>
      </w:r>
      <w:r>
        <w:rPr>
          <w:rFonts w:hint="eastAsia"/>
          <w:szCs w:val="21"/>
        </w:rPr>
        <w:t>并上锁管理</w:t>
      </w:r>
      <w:r>
        <w:rPr>
          <w:szCs w:val="21"/>
        </w:rPr>
        <w:t>，</w:t>
      </w:r>
      <w:r>
        <w:rPr>
          <w:rFonts w:hint="eastAsia"/>
          <w:szCs w:val="21"/>
        </w:rPr>
        <w:t>金属</w:t>
      </w:r>
      <w:r>
        <w:rPr>
          <w:szCs w:val="21"/>
        </w:rPr>
        <w:t>箱体</w:t>
      </w:r>
      <w:r>
        <w:rPr>
          <w:rFonts w:hint="eastAsia"/>
          <w:szCs w:val="21"/>
        </w:rPr>
        <w:t>须</w:t>
      </w:r>
      <w:r>
        <w:rPr>
          <w:szCs w:val="21"/>
        </w:rPr>
        <w:t>与</w:t>
      </w:r>
      <w:r>
        <w:rPr>
          <w:rFonts w:hint="eastAsia"/>
          <w:szCs w:val="21"/>
        </w:rPr>
        <w:t>车身保持</w:t>
      </w:r>
      <w:r>
        <w:rPr>
          <w:szCs w:val="21"/>
        </w:rPr>
        <w:t>固定</w:t>
      </w:r>
      <w:r>
        <w:rPr>
          <w:rFonts w:hint="eastAsia"/>
          <w:szCs w:val="21"/>
        </w:rPr>
        <w:t>，采取有效措施防止箱体掉落。</w:t>
      </w:r>
      <w:r>
        <w:rPr>
          <w:szCs w:val="21"/>
        </w:rPr>
        <w:t>运输</w:t>
      </w:r>
      <w:r>
        <w:rPr>
          <w:rFonts w:hint="eastAsia"/>
          <w:szCs w:val="21"/>
        </w:rPr>
        <w:t>过程</w:t>
      </w:r>
      <w:r>
        <w:rPr>
          <w:szCs w:val="21"/>
        </w:rPr>
        <w:t>中</w:t>
      </w:r>
      <w:r>
        <w:rPr>
          <w:rFonts w:hint="eastAsia"/>
          <w:szCs w:val="21"/>
        </w:rPr>
        <w:t>应</w:t>
      </w:r>
      <w:r>
        <w:rPr>
          <w:szCs w:val="21"/>
        </w:rPr>
        <w:t>落实专人实时看管，做到人不离车</w:t>
      </w:r>
      <w:r>
        <w:rPr>
          <w:rFonts w:hint="eastAsia"/>
          <w:szCs w:val="21"/>
        </w:rPr>
        <w:t>。</w:t>
      </w:r>
    </w:p>
    <w:p>
      <w:pPr>
        <w:snapToGrid w:val="0"/>
        <w:spacing w:line="560" w:lineRule="exact"/>
        <w:ind w:firstLine="636" w:firstLineChars="200"/>
        <w:jc w:val="left"/>
        <w:rPr>
          <w:rFonts w:hint="eastAsia"/>
          <w:szCs w:val="21"/>
        </w:rPr>
      </w:pPr>
      <w:r>
        <w:rPr>
          <w:rFonts w:eastAsia="黑体"/>
          <w:szCs w:val="21"/>
        </w:rPr>
        <w:t>第</w:t>
      </w:r>
      <w:r>
        <w:rPr>
          <w:rFonts w:hint="eastAsia" w:eastAsia="黑体"/>
          <w:szCs w:val="21"/>
        </w:rPr>
        <w:t>十八</w:t>
      </w:r>
      <w:r>
        <w:rPr>
          <w:rFonts w:eastAsia="黑体"/>
          <w:szCs w:val="21"/>
        </w:rPr>
        <w:t>条</w:t>
      </w:r>
      <w:r>
        <w:rPr>
          <w:rFonts w:hint="eastAsia"/>
          <w:szCs w:val="21"/>
          <w:lang w:val="en-US" w:eastAsia="zh-CN"/>
        </w:rPr>
        <w:t>进入基地的</w:t>
      </w:r>
      <w:r>
        <w:rPr>
          <w:rFonts w:hint="eastAsia"/>
          <w:szCs w:val="21"/>
        </w:rPr>
        <w:t>γ射线探伤装置</w:t>
      </w:r>
      <w:r>
        <w:rPr>
          <w:rFonts w:hint="eastAsia"/>
          <w:szCs w:val="21"/>
          <w:lang w:val="en-US" w:eastAsia="zh-CN"/>
        </w:rPr>
        <w:t>必须安装定位器，数据接入监管系统并实现在线监控。</w:t>
      </w:r>
      <w:r>
        <w:rPr>
          <w:szCs w:val="21"/>
        </w:rPr>
        <w:t>禁止作业单位使用超过10年的</w:t>
      </w:r>
      <w:r>
        <w:rPr>
          <w:rFonts w:hint="eastAsia"/>
          <w:szCs w:val="21"/>
        </w:rPr>
        <w:t>γ射线探伤装置</w:t>
      </w:r>
      <w:r>
        <w:rPr>
          <w:szCs w:val="21"/>
        </w:rPr>
        <w:t>，作业单位每个月应对</w:t>
      </w:r>
      <w:r>
        <w:rPr>
          <w:rFonts w:hint="eastAsia"/>
          <w:szCs w:val="21"/>
        </w:rPr>
        <w:t>γ射线探伤装置</w:t>
      </w:r>
      <w:r>
        <w:rPr>
          <w:rFonts w:hint="eastAsia"/>
          <w:szCs w:val="21"/>
          <w:lang w:val="en-US" w:eastAsia="zh-CN"/>
        </w:rPr>
        <w:t>及其定位器</w:t>
      </w:r>
      <w:r>
        <w:rPr>
          <w:szCs w:val="21"/>
        </w:rPr>
        <w:t>进行检查、维护，发现问题应及时维修，并做好记录</w:t>
      </w:r>
      <w:r>
        <w:rPr>
          <w:rFonts w:hint="eastAsia"/>
          <w:szCs w:val="21"/>
        </w:rPr>
        <w:t>上传监管系统。</w:t>
      </w:r>
    </w:p>
    <w:p>
      <w:pPr>
        <w:snapToGrid w:val="0"/>
        <w:spacing w:line="560" w:lineRule="exact"/>
        <w:ind w:firstLine="636" w:firstLineChars="200"/>
        <w:jc w:val="left"/>
        <w:rPr>
          <w:szCs w:val="21"/>
        </w:rPr>
      </w:pPr>
    </w:p>
    <w:p>
      <w:pPr>
        <w:tabs>
          <w:tab w:val="center" w:pos="4153"/>
          <w:tab w:val="right" w:pos="8306"/>
        </w:tabs>
        <w:snapToGrid w:val="0"/>
        <w:spacing w:line="560" w:lineRule="exact"/>
        <w:jc w:val="center"/>
        <w:rPr>
          <w:rFonts w:eastAsia="黑体"/>
          <w:szCs w:val="21"/>
        </w:rPr>
      </w:pPr>
      <w:r>
        <w:rPr>
          <w:rFonts w:eastAsia="黑体"/>
          <w:szCs w:val="21"/>
        </w:rPr>
        <w:t>第五章</w:t>
      </w:r>
      <w:r>
        <w:rPr>
          <w:rFonts w:hint="eastAsia" w:eastAsia="黑体"/>
          <w:szCs w:val="21"/>
        </w:rPr>
        <w:t xml:space="preserve"> 监督和评价管理</w:t>
      </w:r>
    </w:p>
    <w:p>
      <w:pPr>
        <w:snapToGrid w:val="0"/>
        <w:spacing w:line="560" w:lineRule="exact"/>
        <w:ind w:firstLine="636" w:firstLineChars="200"/>
        <w:rPr>
          <w:szCs w:val="21"/>
        </w:rPr>
      </w:pPr>
      <w:r>
        <w:rPr>
          <w:rFonts w:eastAsia="黑体"/>
          <w:szCs w:val="21"/>
        </w:rPr>
        <w:t>第</w:t>
      </w:r>
      <w:r>
        <w:rPr>
          <w:rFonts w:hint="eastAsia" w:eastAsia="黑体"/>
          <w:szCs w:val="21"/>
        </w:rPr>
        <w:t>十九</w:t>
      </w:r>
      <w:r>
        <w:rPr>
          <w:rFonts w:eastAsia="黑体"/>
          <w:szCs w:val="21"/>
        </w:rPr>
        <w:t>条</w:t>
      </w:r>
      <w:r>
        <w:rPr>
          <w:szCs w:val="21"/>
        </w:rPr>
        <w:t>作业单位应当加强作业辐射安全管理，对作业的辐射安全和防护工作负责，并依法对其造成的放射性危害承担责任。</w:t>
      </w:r>
    </w:p>
    <w:p>
      <w:pPr>
        <w:snapToGrid w:val="0"/>
        <w:spacing w:line="560" w:lineRule="exact"/>
        <w:ind w:firstLine="636" w:firstLineChars="200"/>
        <w:rPr>
          <w:szCs w:val="21"/>
        </w:rPr>
      </w:pPr>
      <w:r>
        <w:rPr>
          <w:rFonts w:eastAsia="黑体"/>
          <w:szCs w:val="21"/>
        </w:rPr>
        <w:t>第</w:t>
      </w:r>
      <w:r>
        <w:rPr>
          <w:rFonts w:hint="eastAsia" w:eastAsia="黑体"/>
          <w:szCs w:val="21"/>
        </w:rPr>
        <w:t>二十</w:t>
      </w:r>
      <w:r>
        <w:rPr>
          <w:rFonts w:eastAsia="黑体"/>
          <w:szCs w:val="21"/>
        </w:rPr>
        <w:t>条</w:t>
      </w:r>
      <w:r>
        <w:rPr>
          <w:szCs w:val="21"/>
        </w:rPr>
        <w:t>各级</w:t>
      </w:r>
      <w:r>
        <w:rPr>
          <w:rFonts w:hint="eastAsia"/>
          <w:szCs w:val="21"/>
        </w:rPr>
        <w:t>生态环境部门</w:t>
      </w:r>
      <w:r>
        <w:rPr>
          <w:szCs w:val="21"/>
        </w:rPr>
        <w:t>应当将作业</w:t>
      </w:r>
      <w:r>
        <w:rPr>
          <w:rFonts w:hint="eastAsia"/>
          <w:szCs w:val="21"/>
        </w:rPr>
        <w:t>单位</w:t>
      </w:r>
      <w:r>
        <w:rPr>
          <w:szCs w:val="21"/>
        </w:rPr>
        <w:t>列为辐射安全重点</w:t>
      </w:r>
      <w:r>
        <w:rPr>
          <w:rFonts w:hint="eastAsia"/>
          <w:szCs w:val="21"/>
        </w:rPr>
        <w:t>监管</w:t>
      </w:r>
      <w:r>
        <w:rPr>
          <w:szCs w:val="21"/>
        </w:rPr>
        <w:t>对象，</w:t>
      </w:r>
      <w:r>
        <w:rPr>
          <w:rFonts w:hint="eastAsia"/>
          <w:szCs w:val="21"/>
        </w:rPr>
        <w:t>会同公安部门和基地管委会</w:t>
      </w:r>
      <w:r>
        <w:rPr>
          <w:szCs w:val="21"/>
        </w:rPr>
        <w:t>对作业单位实施</w:t>
      </w:r>
      <w:r>
        <w:rPr>
          <w:rFonts w:hint="eastAsia"/>
          <w:szCs w:val="21"/>
        </w:rPr>
        <w:t>联合监管，加大对</w:t>
      </w:r>
      <w:r>
        <w:rPr>
          <w:szCs w:val="21"/>
        </w:rPr>
        <w:t>作业单位和</w:t>
      </w:r>
      <w:r>
        <w:rPr>
          <w:rFonts w:hint="eastAsia"/>
          <w:szCs w:val="21"/>
        </w:rPr>
        <w:t>作业</w:t>
      </w:r>
      <w:r>
        <w:rPr>
          <w:szCs w:val="21"/>
        </w:rPr>
        <w:t>现场</w:t>
      </w:r>
      <w:r>
        <w:rPr>
          <w:rFonts w:hint="eastAsia"/>
          <w:szCs w:val="21"/>
        </w:rPr>
        <w:t>监督</w:t>
      </w:r>
      <w:r>
        <w:rPr>
          <w:szCs w:val="21"/>
        </w:rPr>
        <w:t>检查</w:t>
      </w:r>
      <w:r>
        <w:rPr>
          <w:rFonts w:hint="eastAsia"/>
          <w:szCs w:val="21"/>
        </w:rPr>
        <w:t>力度，对违法行为从严查处，对违规操作和弄虚作假“零容忍”。</w:t>
      </w:r>
    </w:p>
    <w:p>
      <w:pPr>
        <w:snapToGrid w:val="0"/>
        <w:spacing w:line="560" w:lineRule="exact"/>
        <w:ind w:firstLine="636" w:firstLineChars="200"/>
        <w:rPr>
          <w:szCs w:val="21"/>
        </w:rPr>
      </w:pPr>
      <w:r>
        <w:rPr>
          <w:rFonts w:eastAsia="黑体"/>
          <w:szCs w:val="21"/>
        </w:rPr>
        <w:t>第二十</w:t>
      </w:r>
      <w:r>
        <w:rPr>
          <w:rFonts w:hint="eastAsia" w:eastAsia="黑体"/>
          <w:szCs w:val="21"/>
        </w:rPr>
        <w:t>一</w:t>
      </w:r>
      <w:r>
        <w:rPr>
          <w:rFonts w:eastAsia="黑体"/>
          <w:szCs w:val="21"/>
        </w:rPr>
        <w:t>条</w:t>
      </w:r>
      <w:r>
        <w:rPr>
          <w:szCs w:val="21"/>
        </w:rPr>
        <w:t>作业单位违反本规定的行为，有关法律、法规、规章已有行政处罚规定的，从其规定。</w:t>
      </w:r>
      <w:r>
        <w:rPr>
          <w:rFonts w:hint="eastAsia"/>
          <w:szCs w:val="21"/>
        </w:rPr>
        <w:t>无行政处罚规定的，依据规范考核要求对其开展信用评价，标记为</w:t>
      </w:r>
      <w:r>
        <w:rPr>
          <w:szCs w:val="21"/>
        </w:rPr>
        <w:t>红</w:t>
      </w:r>
      <w:r>
        <w:rPr>
          <w:rFonts w:hint="eastAsia"/>
          <w:szCs w:val="21"/>
        </w:rPr>
        <w:t>、</w:t>
      </w:r>
      <w:r>
        <w:rPr>
          <w:szCs w:val="21"/>
        </w:rPr>
        <w:t>黄牌</w:t>
      </w:r>
      <w:r>
        <w:rPr>
          <w:rFonts w:hint="eastAsia"/>
          <w:szCs w:val="21"/>
        </w:rPr>
        <w:t>的作业</w:t>
      </w:r>
      <w:r>
        <w:rPr>
          <w:szCs w:val="21"/>
        </w:rPr>
        <w:t>单位</w:t>
      </w:r>
      <w:r>
        <w:rPr>
          <w:rFonts w:hint="eastAsia"/>
          <w:szCs w:val="21"/>
        </w:rPr>
        <w:t>将</w:t>
      </w:r>
      <w:r>
        <w:rPr>
          <w:szCs w:val="21"/>
        </w:rPr>
        <w:t>采取约谈负责人、暂停作业等惩戒手段，直至停止探伤作业、清退出岛并列入</w:t>
      </w:r>
      <w:r>
        <w:rPr>
          <w:rFonts w:hint="eastAsia"/>
          <w:szCs w:val="21"/>
        </w:rPr>
        <w:t>舟山市放射源移动探伤黑名单。</w:t>
      </w:r>
    </w:p>
    <w:p>
      <w:pPr>
        <w:snapToGrid w:val="0"/>
        <w:spacing w:line="560" w:lineRule="exact"/>
        <w:ind w:firstLine="636" w:firstLineChars="200"/>
        <w:rPr>
          <w:rFonts w:eastAsia="黑体"/>
          <w:szCs w:val="21"/>
        </w:rPr>
      </w:pPr>
    </w:p>
    <w:p>
      <w:pPr>
        <w:snapToGrid w:val="0"/>
        <w:spacing w:line="560" w:lineRule="exact"/>
        <w:jc w:val="center"/>
        <w:rPr>
          <w:rFonts w:eastAsia="黑体"/>
          <w:szCs w:val="21"/>
        </w:rPr>
      </w:pPr>
      <w:r>
        <w:rPr>
          <w:rFonts w:eastAsia="黑体"/>
          <w:szCs w:val="21"/>
        </w:rPr>
        <w:t>第六章附则</w:t>
      </w:r>
    </w:p>
    <w:p>
      <w:pPr>
        <w:snapToGrid w:val="0"/>
        <w:spacing w:line="560" w:lineRule="exact"/>
        <w:ind w:firstLine="636" w:firstLineChars="200"/>
        <w:rPr>
          <w:szCs w:val="21"/>
        </w:rPr>
      </w:pPr>
      <w:r>
        <w:rPr>
          <w:rFonts w:eastAsia="黑体"/>
          <w:szCs w:val="21"/>
        </w:rPr>
        <w:t>第二十</w:t>
      </w:r>
      <w:r>
        <w:rPr>
          <w:rFonts w:hint="eastAsia" w:eastAsia="黑体"/>
          <w:szCs w:val="21"/>
        </w:rPr>
        <w:t>二</w:t>
      </w:r>
      <w:r>
        <w:rPr>
          <w:rFonts w:eastAsia="黑体"/>
          <w:szCs w:val="21"/>
        </w:rPr>
        <w:t>条</w:t>
      </w:r>
      <w:r>
        <w:rPr>
          <w:szCs w:val="21"/>
        </w:rPr>
        <w:t>转移使用活动所涉及到的放射性同位素</w:t>
      </w:r>
      <w:r>
        <w:rPr>
          <w:rFonts w:hint="eastAsia"/>
          <w:szCs w:val="21"/>
        </w:rPr>
        <w:t>上下岛</w:t>
      </w:r>
      <w:r>
        <w:rPr>
          <w:szCs w:val="21"/>
        </w:rPr>
        <w:t>运输安全和保管，按照国家相关法律法规执行。</w:t>
      </w:r>
    </w:p>
    <w:p>
      <w:pPr>
        <w:snapToGrid w:val="0"/>
        <w:spacing w:line="560" w:lineRule="exact"/>
        <w:ind w:firstLine="636" w:firstLineChars="200"/>
        <w:rPr>
          <w:szCs w:val="21"/>
        </w:rPr>
      </w:pPr>
      <w:r>
        <w:rPr>
          <w:rFonts w:eastAsia="黑体"/>
          <w:szCs w:val="21"/>
        </w:rPr>
        <w:t>第二十</w:t>
      </w:r>
      <w:r>
        <w:rPr>
          <w:rFonts w:hint="eastAsia" w:eastAsia="黑体"/>
          <w:szCs w:val="21"/>
        </w:rPr>
        <w:t>三</w:t>
      </w:r>
      <w:r>
        <w:rPr>
          <w:rFonts w:eastAsia="黑体"/>
          <w:szCs w:val="21"/>
        </w:rPr>
        <w:t>条</w:t>
      </w:r>
      <w:r>
        <w:rPr>
          <w:szCs w:val="21"/>
        </w:rPr>
        <w:t>上级</w:t>
      </w:r>
      <w:r>
        <w:rPr>
          <w:rFonts w:hint="eastAsia"/>
          <w:szCs w:val="21"/>
        </w:rPr>
        <w:t>生态环境</w:t>
      </w:r>
      <w:r>
        <w:rPr>
          <w:szCs w:val="21"/>
        </w:rPr>
        <w:t>部门对作业管理另有规定的，从其规定。本规定未尽事宜，按照有关法律法规</w:t>
      </w:r>
      <w:r>
        <w:rPr>
          <w:rFonts w:hint="eastAsia"/>
          <w:szCs w:val="21"/>
        </w:rPr>
        <w:t>和</w:t>
      </w:r>
      <w:r>
        <w:rPr>
          <w:szCs w:val="21"/>
        </w:rPr>
        <w:t>规章执行。</w:t>
      </w:r>
    </w:p>
    <w:p>
      <w:pPr>
        <w:snapToGrid w:val="0"/>
        <w:spacing w:line="560" w:lineRule="exact"/>
        <w:ind w:firstLine="636" w:firstLineChars="200"/>
        <w:rPr>
          <w:szCs w:val="21"/>
        </w:rPr>
      </w:pPr>
      <w:r>
        <w:rPr>
          <w:rFonts w:eastAsia="黑体"/>
          <w:szCs w:val="21"/>
        </w:rPr>
        <w:t>第二十</w:t>
      </w:r>
      <w:r>
        <w:rPr>
          <w:rFonts w:hint="eastAsia" w:eastAsia="黑体"/>
          <w:szCs w:val="21"/>
        </w:rPr>
        <w:t>四</w:t>
      </w:r>
      <w:r>
        <w:rPr>
          <w:rFonts w:eastAsia="黑体"/>
          <w:szCs w:val="21"/>
        </w:rPr>
        <w:t>条</w:t>
      </w:r>
      <w:r>
        <w:rPr>
          <w:szCs w:val="21"/>
        </w:rPr>
        <w:t>本规定自</w:t>
      </w:r>
      <w:r>
        <w:rPr>
          <w:rFonts w:hint="eastAsia"/>
          <w:szCs w:val="21"/>
        </w:rPr>
        <w:t>印发之日起</w:t>
      </w:r>
      <w:r>
        <w:rPr>
          <w:szCs w:val="21"/>
        </w:rPr>
        <w:t>实施。</w:t>
      </w:r>
    </w:p>
    <w:p>
      <w:pPr>
        <w:snapToGrid w:val="0"/>
        <w:spacing w:line="560" w:lineRule="exact"/>
        <w:ind w:firstLine="636" w:firstLineChars="200"/>
        <w:rPr>
          <w:szCs w:val="21"/>
        </w:rPr>
      </w:pPr>
    </w:p>
    <w:p>
      <w:pPr>
        <w:snapToGrid w:val="0"/>
        <w:spacing w:line="560" w:lineRule="exact"/>
        <w:ind w:firstLine="636" w:firstLineChars="200"/>
        <w:rPr>
          <w:szCs w:val="21"/>
        </w:rPr>
      </w:pPr>
    </w:p>
    <w:p>
      <w:pPr>
        <w:snapToGrid w:val="0"/>
        <w:spacing w:line="560" w:lineRule="exact"/>
        <w:ind w:firstLine="636" w:firstLineChars="200"/>
        <w:rPr>
          <w:szCs w:val="21"/>
        </w:rPr>
      </w:pPr>
    </w:p>
    <w:p>
      <w:pPr>
        <w:snapToGrid w:val="0"/>
        <w:spacing w:line="560" w:lineRule="exact"/>
        <w:ind w:firstLine="636" w:firstLineChars="200"/>
        <w:rPr>
          <w:szCs w:val="21"/>
        </w:rPr>
      </w:pPr>
    </w:p>
    <w:p>
      <w:pPr>
        <w:snapToGrid w:val="0"/>
        <w:spacing w:line="560" w:lineRule="exact"/>
        <w:ind w:firstLine="636" w:firstLineChars="200"/>
        <w:rPr>
          <w:szCs w:val="21"/>
        </w:rPr>
      </w:pPr>
    </w:p>
    <w:p>
      <w:pPr>
        <w:snapToGrid w:val="0"/>
        <w:spacing w:line="560" w:lineRule="exact"/>
        <w:ind w:firstLine="636" w:firstLineChars="200"/>
        <w:rPr>
          <w:szCs w:val="21"/>
        </w:rPr>
      </w:pPr>
    </w:p>
    <w:p>
      <w:pPr>
        <w:snapToGrid w:val="0"/>
        <w:spacing w:line="560" w:lineRule="exact"/>
        <w:ind w:firstLine="636" w:firstLineChars="200"/>
        <w:rPr>
          <w:szCs w:val="21"/>
        </w:rPr>
      </w:pPr>
    </w:p>
    <w:p>
      <w:pPr>
        <w:snapToGrid w:val="0"/>
        <w:spacing w:line="560" w:lineRule="exact"/>
        <w:ind w:firstLine="636" w:firstLineChars="200"/>
        <w:rPr>
          <w:szCs w:val="21"/>
        </w:rPr>
      </w:pPr>
    </w:p>
    <w:p>
      <w:pPr>
        <w:snapToGrid w:val="0"/>
        <w:spacing w:line="560" w:lineRule="exact"/>
        <w:ind w:firstLine="636" w:firstLineChars="200"/>
        <w:rPr>
          <w:szCs w:val="21"/>
        </w:rPr>
      </w:pPr>
    </w:p>
    <w:p>
      <w:pPr>
        <w:snapToGrid w:val="0"/>
        <w:spacing w:line="560" w:lineRule="exact"/>
        <w:ind w:firstLine="636" w:firstLineChars="200"/>
        <w:rPr>
          <w:szCs w:val="21"/>
        </w:rPr>
      </w:pPr>
    </w:p>
    <w:p>
      <w:pPr>
        <w:snapToGrid w:val="0"/>
        <w:spacing w:line="560" w:lineRule="exact"/>
        <w:ind w:firstLine="636" w:firstLineChars="200"/>
        <w:rPr>
          <w:szCs w:val="21"/>
        </w:rPr>
      </w:pPr>
    </w:p>
    <w:p>
      <w:pPr>
        <w:snapToGrid w:val="0"/>
        <w:spacing w:line="560" w:lineRule="exact"/>
        <w:ind w:firstLine="636" w:firstLineChars="200"/>
        <w:rPr>
          <w:szCs w:val="21"/>
        </w:rPr>
      </w:pPr>
    </w:p>
    <w:p>
      <w:pPr>
        <w:snapToGrid w:val="0"/>
        <w:spacing w:line="560" w:lineRule="exact"/>
        <w:ind w:firstLine="636" w:firstLineChars="200"/>
        <w:rPr>
          <w:szCs w:val="21"/>
        </w:rPr>
      </w:pPr>
    </w:p>
    <w:p>
      <w:pPr>
        <w:snapToGrid w:val="0"/>
        <w:spacing w:line="560" w:lineRule="exact"/>
        <w:rPr>
          <w:szCs w:val="21"/>
        </w:rPr>
      </w:pPr>
    </w:p>
    <w:p>
      <w:pPr>
        <w:widowControl/>
        <w:jc w:val="left"/>
        <w:rPr>
          <w:rFonts w:eastAsia="方正小标宋简体"/>
          <w:sz w:val="36"/>
          <w:szCs w:val="36"/>
        </w:rPr>
      </w:pPr>
      <w:r>
        <w:rPr>
          <w:rFonts w:eastAsia="黑体"/>
          <w:szCs w:val="32"/>
        </w:rPr>
        <w:t>附表</w:t>
      </w:r>
      <w:r>
        <w:rPr>
          <w:rFonts w:hint="eastAsia" w:eastAsia="黑体"/>
          <w:szCs w:val="32"/>
        </w:rPr>
        <w:t>1</w:t>
      </w:r>
    </w:p>
    <w:p>
      <w:pPr>
        <w:adjustRightInd w:val="0"/>
        <w:spacing w:line="560" w:lineRule="exact"/>
        <w:jc w:val="center"/>
        <w:textAlignment w:val="center"/>
        <w:rPr>
          <w:rFonts w:eastAsia="方正小标宋简体"/>
          <w:bCs/>
          <w:kern w:val="0"/>
          <w:sz w:val="36"/>
          <w:szCs w:val="28"/>
        </w:rPr>
      </w:pPr>
      <w:r>
        <w:rPr>
          <w:rFonts w:eastAsia="方正小标宋简体"/>
          <w:sz w:val="36"/>
          <w:szCs w:val="36"/>
        </w:rPr>
        <w:t>浙江省放射性同位素省内转移使用报告表</w:t>
      </w:r>
    </w:p>
    <w:p>
      <w:pPr>
        <w:widowControl/>
        <w:spacing w:line="440" w:lineRule="exact"/>
        <w:jc w:val="left"/>
        <w:rPr>
          <w:rFonts w:eastAsia="宋体"/>
          <w:bCs/>
          <w:kern w:val="0"/>
          <w:sz w:val="21"/>
          <w:szCs w:val="21"/>
        </w:rPr>
      </w:pPr>
      <w:r>
        <w:rPr>
          <w:rFonts w:eastAsia="宋体"/>
          <w:bCs/>
          <w:kern w:val="0"/>
          <w:sz w:val="21"/>
          <w:szCs w:val="21"/>
        </w:rPr>
        <w:t>报告编号：</w:t>
      </w:r>
      <w:r>
        <w:rPr>
          <w:rFonts w:hint="eastAsia" w:eastAsia="宋体"/>
          <w:bCs/>
          <w:kern w:val="0"/>
          <w:sz w:val="21"/>
          <w:szCs w:val="21"/>
        </w:rPr>
        <w:t>舟环辐备</w:t>
      </w:r>
      <w:r>
        <w:rPr>
          <w:rFonts w:eastAsia="宋体"/>
          <w:bCs/>
          <w:kern w:val="0"/>
          <w:sz w:val="21"/>
          <w:szCs w:val="21"/>
        </w:rPr>
        <w:t>〔〕</w:t>
      </w:r>
      <w:r>
        <w:rPr>
          <w:rFonts w:hint="eastAsia" w:eastAsia="宋体"/>
          <w:bCs/>
          <w:kern w:val="0"/>
          <w:sz w:val="21"/>
          <w:szCs w:val="21"/>
        </w:rPr>
        <w:t xml:space="preserve">   号</w:t>
      </w:r>
    </w:p>
    <w:tbl>
      <w:tblPr>
        <w:tblStyle w:val="4"/>
        <w:tblW w:w="896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14"/>
        <w:gridCol w:w="1104"/>
        <w:gridCol w:w="1288"/>
        <w:gridCol w:w="863"/>
        <w:gridCol w:w="963"/>
        <w:gridCol w:w="403"/>
        <w:gridCol w:w="909"/>
        <w:gridCol w:w="236"/>
        <w:gridCol w:w="552"/>
        <w:gridCol w:w="14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23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r>
              <w:rPr>
                <w:rFonts w:eastAsia="宋体"/>
                <w:bCs/>
                <w:kern w:val="0"/>
                <w:sz w:val="21"/>
                <w:szCs w:val="21"/>
              </w:rPr>
              <w:t>单位名称</w:t>
            </w:r>
          </w:p>
        </w:tc>
        <w:tc>
          <w:tcPr>
            <w:tcW w:w="66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r>
              <w:rPr>
                <w:rFonts w:eastAsia="宋体"/>
                <w:bCs/>
                <w:kern w:val="0"/>
                <w:sz w:val="21"/>
                <w:szCs w:val="21"/>
              </w:rPr>
              <w:t xml:space="preserve">                                    （盖章）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3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r>
              <w:rPr>
                <w:rFonts w:eastAsia="宋体"/>
                <w:bCs/>
                <w:kern w:val="0"/>
                <w:sz w:val="21"/>
                <w:szCs w:val="21"/>
              </w:rPr>
              <w:t>辐射安全许可证号</w:t>
            </w:r>
          </w:p>
        </w:tc>
        <w:tc>
          <w:tcPr>
            <w:tcW w:w="66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23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r>
              <w:rPr>
                <w:rFonts w:eastAsia="宋体"/>
                <w:bCs/>
                <w:kern w:val="0"/>
                <w:sz w:val="21"/>
                <w:szCs w:val="21"/>
              </w:rPr>
              <w:t>单位详细地址</w:t>
            </w:r>
          </w:p>
        </w:tc>
        <w:tc>
          <w:tcPr>
            <w:tcW w:w="31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r>
              <w:rPr>
                <w:rFonts w:eastAsia="宋体"/>
                <w:bCs/>
                <w:kern w:val="0"/>
                <w:sz w:val="21"/>
                <w:szCs w:val="21"/>
              </w:rPr>
              <w:t>邮编</w:t>
            </w:r>
          </w:p>
        </w:tc>
        <w:tc>
          <w:tcPr>
            <w:tcW w:w="221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23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r>
              <w:rPr>
                <w:rFonts w:eastAsia="宋体"/>
                <w:bCs/>
                <w:kern w:val="0"/>
                <w:sz w:val="21"/>
                <w:szCs w:val="21"/>
              </w:rPr>
              <w:t>辐射安全负责人</w:t>
            </w:r>
          </w:p>
        </w:tc>
        <w:tc>
          <w:tcPr>
            <w:tcW w:w="31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r>
              <w:rPr>
                <w:rFonts w:eastAsia="宋体"/>
                <w:bCs/>
                <w:kern w:val="0"/>
                <w:sz w:val="21"/>
                <w:szCs w:val="21"/>
              </w:rPr>
              <w:t>联系电话</w:t>
            </w:r>
          </w:p>
        </w:tc>
        <w:tc>
          <w:tcPr>
            <w:tcW w:w="221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23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r>
              <w:rPr>
                <w:rFonts w:eastAsia="宋体"/>
                <w:bCs/>
                <w:kern w:val="0"/>
                <w:sz w:val="21"/>
                <w:szCs w:val="21"/>
              </w:rPr>
              <w:t>项目负责人</w:t>
            </w:r>
          </w:p>
        </w:tc>
        <w:tc>
          <w:tcPr>
            <w:tcW w:w="31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r>
              <w:rPr>
                <w:rFonts w:eastAsia="宋体"/>
                <w:bCs/>
                <w:kern w:val="0"/>
                <w:sz w:val="21"/>
                <w:szCs w:val="21"/>
              </w:rPr>
              <w:t>联系电话</w:t>
            </w:r>
          </w:p>
        </w:tc>
        <w:tc>
          <w:tcPr>
            <w:tcW w:w="221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bCs/>
                <w:kern w:val="0"/>
                <w:sz w:val="21"/>
                <w:szCs w:val="21"/>
              </w:rPr>
            </w:pPr>
            <w:r>
              <w:rPr>
                <w:rFonts w:eastAsia="宋体"/>
                <w:bCs/>
                <w:kern w:val="0"/>
                <w:sz w:val="21"/>
                <w:szCs w:val="21"/>
              </w:rPr>
              <w:t>设备名称</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bCs/>
                <w:kern w:val="0"/>
                <w:sz w:val="21"/>
                <w:szCs w:val="21"/>
              </w:rPr>
            </w:pPr>
            <w:r>
              <w:rPr>
                <w:rFonts w:eastAsia="宋体"/>
                <w:bCs/>
                <w:kern w:val="0"/>
                <w:sz w:val="21"/>
                <w:szCs w:val="21"/>
              </w:rPr>
              <w:t>核素名称</w:t>
            </w: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bCs/>
                <w:kern w:val="0"/>
                <w:sz w:val="21"/>
                <w:szCs w:val="21"/>
              </w:rPr>
            </w:pPr>
            <w:r>
              <w:rPr>
                <w:rFonts w:eastAsia="宋体"/>
                <w:bCs/>
                <w:kern w:val="0"/>
                <w:sz w:val="21"/>
                <w:szCs w:val="21"/>
              </w:rPr>
              <w:t>出厂日期</w:t>
            </w:r>
          </w:p>
        </w:tc>
        <w:tc>
          <w:tcPr>
            <w:tcW w:w="18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bCs/>
                <w:kern w:val="0"/>
                <w:sz w:val="21"/>
                <w:szCs w:val="21"/>
              </w:rPr>
            </w:pPr>
            <w:r>
              <w:rPr>
                <w:rFonts w:eastAsia="宋体"/>
                <w:bCs/>
                <w:kern w:val="0"/>
                <w:sz w:val="21"/>
                <w:szCs w:val="21"/>
              </w:rPr>
              <w:t>出厂活度（Bq）</w:t>
            </w:r>
          </w:p>
        </w:tc>
        <w:tc>
          <w:tcPr>
            <w:tcW w:w="21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bCs/>
                <w:kern w:val="0"/>
                <w:sz w:val="21"/>
                <w:szCs w:val="21"/>
              </w:rPr>
            </w:pPr>
            <w:r>
              <w:rPr>
                <w:rFonts w:eastAsia="宋体"/>
                <w:bCs/>
                <w:kern w:val="0"/>
                <w:sz w:val="21"/>
                <w:szCs w:val="21"/>
              </w:rPr>
              <w:t>放射源编码</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bCs/>
                <w:kern w:val="0"/>
                <w:sz w:val="21"/>
                <w:szCs w:val="21"/>
              </w:rPr>
            </w:pPr>
            <w:r>
              <w:rPr>
                <w:rFonts w:eastAsia="宋体"/>
                <w:bCs/>
                <w:kern w:val="0"/>
                <w:sz w:val="21"/>
                <w:szCs w:val="21"/>
              </w:rPr>
              <w:t>放射源标号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8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21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8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21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8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21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8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21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23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bCs/>
                <w:kern w:val="0"/>
                <w:sz w:val="21"/>
                <w:szCs w:val="21"/>
              </w:rPr>
            </w:pPr>
            <w:r>
              <w:rPr>
                <w:rFonts w:eastAsia="宋体"/>
                <w:bCs/>
                <w:kern w:val="0"/>
                <w:sz w:val="21"/>
                <w:szCs w:val="21"/>
              </w:rPr>
              <w:t>异地作业内容</w:t>
            </w:r>
          </w:p>
        </w:tc>
        <w:tc>
          <w:tcPr>
            <w:tcW w:w="66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23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bCs/>
                <w:kern w:val="0"/>
                <w:sz w:val="21"/>
                <w:szCs w:val="21"/>
              </w:rPr>
            </w:pPr>
            <w:r>
              <w:rPr>
                <w:rFonts w:eastAsia="宋体"/>
                <w:bCs/>
                <w:kern w:val="0"/>
                <w:sz w:val="21"/>
                <w:szCs w:val="21"/>
              </w:rPr>
              <w:t>计划作业详细地址</w:t>
            </w:r>
          </w:p>
        </w:tc>
        <w:tc>
          <w:tcPr>
            <w:tcW w:w="35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bCs/>
                <w:kern w:val="0"/>
                <w:sz w:val="21"/>
                <w:szCs w:val="21"/>
              </w:rPr>
            </w:pPr>
          </w:p>
        </w:tc>
        <w:tc>
          <w:tcPr>
            <w:tcW w:w="11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bCs/>
                <w:kern w:val="0"/>
                <w:sz w:val="21"/>
                <w:szCs w:val="21"/>
              </w:rPr>
            </w:pPr>
            <w:r>
              <w:rPr>
                <w:rFonts w:eastAsia="宋体"/>
                <w:bCs/>
                <w:kern w:val="0"/>
                <w:sz w:val="21"/>
                <w:szCs w:val="21"/>
              </w:rPr>
              <w:t>接收单位</w:t>
            </w:r>
          </w:p>
        </w:tc>
        <w:tc>
          <w:tcPr>
            <w:tcW w:w="19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23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bCs/>
                <w:kern w:val="0"/>
                <w:sz w:val="21"/>
                <w:szCs w:val="21"/>
              </w:rPr>
            </w:pPr>
            <w:r>
              <w:rPr>
                <w:rFonts w:eastAsia="宋体"/>
                <w:bCs/>
                <w:kern w:val="0"/>
                <w:sz w:val="21"/>
                <w:szCs w:val="21"/>
              </w:rPr>
              <w:t>计划作业起止时间</w:t>
            </w:r>
          </w:p>
        </w:tc>
        <w:tc>
          <w:tcPr>
            <w:tcW w:w="66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bCs/>
                <w:kern w:val="0"/>
                <w:sz w:val="21"/>
                <w:szCs w:val="21"/>
              </w:rPr>
            </w:pPr>
            <w:r>
              <w:rPr>
                <w:rFonts w:eastAsia="宋体"/>
                <w:bCs/>
                <w:kern w:val="0"/>
                <w:sz w:val="21"/>
                <w:szCs w:val="21"/>
              </w:rPr>
              <w:t>自      年    月    日至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23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bCs/>
                <w:kern w:val="0"/>
                <w:sz w:val="21"/>
                <w:szCs w:val="21"/>
              </w:rPr>
            </w:pPr>
            <w:r>
              <w:rPr>
                <w:rFonts w:eastAsia="宋体"/>
                <w:bCs/>
                <w:kern w:val="0"/>
                <w:sz w:val="21"/>
                <w:szCs w:val="21"/>
              </w:rPr>
              <w:t>经办人</w:t>
            </w:r>
          </w:p>
        </w:tc>
        <w:tc>
          <w:tcPr>
            <w:tcW w:w="35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bCs/>
                <w:kern w:val="0"/>
                <w:sz w:val="21"/>
                <w:szCs w:val="21"/>
              </w:rPr>
            </w:pPr>
          </w:p>
        </w:tc>
        <w:tc>
          <w:tcPr>
            <w:tcW w:w="11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bCs/>
                <w:kern w:val="0"/>
                <w:sz w:val="21"/>
                <w:szCs w:val="21"/>
              </w:rPr>
            </w:pPr>
            <w:r>
              <w:rPr>
                <w:rFonts w:eastAsia="宋体"/>
                <w:bCs/>
                <w:kern w:val="0"/>
                <w:sz w:val="21"/>
                <w:szCs w:val="21"/>
              </w:rPr>
              <w:t>联系电话</w:t>
            </w:r>
          </w:p>
        </w:tc>
        <w:tc>
          <w:tcPr>
            <w:tcW w:w="19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896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ind w:firstLine="624" w:firstLineChars="300"/>
              <w:jc w:val="left"/>
              <w:rPr>
                <w:rFonts w:eastAsia="宋体"/>
                <w:bCs/>
                <w:kern w:val="0"/>
                <w:sz w:val="21"/>
                <w:szCs w:val="21"/>
              </w:rPr>
            </w:pPr>
            <w:r>
              <w:rPr>
                <w:rFonts w:eastAsia="宋体"/>
                <w:bCs/>
                <w:kern w:val="0"/>
                <w:sz w:val="21"/>
                <w:szCs w:val="21"/>
              </w:rPr>
              <w:t>附件：□ 1.辐射安全许可证</w:t>
            </w:r>
            <w:r>
              <w:rPr>
                <w:rFonts w:hint="eastAsia" w:eastAsia="宋体"/>
                <w:bCs/>
                <w:kern w:val="0"/>
                <w:sz w:val="21"/>
                <w:szCs w:val="21"/>
              </w:rPr>
              <w:t>正、副本</w:t>
            </w:r>
            <w:r>
              <w:rPr>
                <w:rFonts w:eastAsia="宋体"/>
                <w:bCs/>
                <w:kern w:val="0"/>
                <w:sz w:val="21"/>
                <w:szCs w:val="21"/>
              </w:rPr>
              <w:t>复印件</w:t>
            </w:r>
            <w:r>
              <w:rPr>
                <w:rFonts w:hint="eastAsia" w:eastAsia="宋体"/>
                <w:bCs/>
                <w:kern w:val="0"/>
                <w:sz w:val="21"/>
                <w:szCs w:val="21"/>
              </w:rPr>
              <w:t>；</w:t>
            </w:r>
          </w:p>
          <w:p>
            <w:pPr>
              <w:widowControl/>
              <w:spacing w:line="320" w:lineRule="exact"/>
              <w:ind w:firstLine="1248" w:firstLineChars="600"/>
              <w:jc w:val="left"/>
              <w:rPr>
                <w:rFonts w:eastAsia="宋体"/>
                <w:bCs/>
                <w:kern w:val="0"/>
                <w:sz w:val="21"/>
                <w:szCs w:val="21"/>
              </w:rPr>
            </w:pPr>
            <w:r>
              <w:rPr>
                <w:rFonts w:eastAsia="宋体"/>
                <w:bCs/>
                <w:kern w:val="0"/>
                <w:sz w:val="21"/>
                <w:szCs w:val="21"/>
              </w:rPr>
              <w:t xml:space="preserve">□ </w:t>
            </w:r>
            <w:r>
              <w:rPr>
                <w:rFonts w:hint="eastAsia" w:eastAsia="宋体"/>
                <w:bCs/>
                <w:kern w:val="0"/>
                <w:sz w:val="21"/>
                <w:szCs w:val="21"/>
              </w:rPr>
              <w:t>2</w:t>
            </w:r>
            <w:r>
              <w:rPr>
                <w:rFonts w:eastAsia="宋体"/>
                <w:bCs/>
                <w:kern w:val="0"/>
                <w:sz w:val="21"/>
                <w:szCs w:val="21"/>
              </w:rPr>
              <w:t>.</w:t>
            </w:r>
            <w:r>
              <w:rPr>
                <w:rFonts w:hint="eastAsia" w:eastAsia="宋体"/>
                <w:bCs/>
                <w:kern w:val="0"/>
                <w:sz w:val="21"/>
                <w:szCs w:val="21"/>
              </w:rPr>
              <w:t>符合规范的放射源暂存库或临时存放场所相关证明材料；</w:t>
            </w:r>
          </w:p>
          <w:p>
            <w:pPr>
              <w:widowControl/>
              <w:spacing w:line="320" w:lineRule="exact"/>
              <w:ind w:left="1656" w:leftChars="390" w:hanging="416" w:hangingChars="200"/>
              <w:jc w:val="left"/>
              <w:rPr>
                <w:rFonts w:eastAsia="宋体"/>
                <w:bCs/>
                <w:kern w:val="0"/>
                <w:sz w:val="21"/>
                <w:szCs w:val="21"/>
              </w:rPr>
            </w:pPr>
            <w:r>
              <w:rPr>
                <w:rFonts w:eastAsia="宋体"/>
                <w:bCs/>
                <w:kern w:val="0"/>
                <w:sz w:val="21"/>
                <w:szCs w:val="21"/>
              </w:rPr>
              <w:t xml:space="preserve">□ </w:t>
            </w:r>
            <w:r>
              <w:rPr>
                <w:rFonts w:hint="eastAsia" w:eastAsia="宋体"/>
                <w:bCs/>
                <w:kern w:val="0"/>
                <w:sz w:val="21"/>
                <w:szCs w:val="21"/>
              </w:rPr>
              <w:t>3</w:t>
            </w:r>
            <w:r>
              <w:rPr>
                <w:rFonts w:eastAsia="宋体"/>
                <w:bCs/>
                <w:kern w:val="0"/>
                <w:sz w:val="21"/>
                <w:szCs w:val="21"/>
              </w:rPr>
              <w:t>.</w:t>
            </w:r>
            <w:r>
              <w:rPr>
                <w:rFonts w:hint="eastAsia" w:eastAsia="宋体"/>
                <w:bCs/>
                <w:kern w:val="0"/>
                <w:sz w:val="21"/>
                <w:szCs w:val="21"/>
              </w:rPr>
              <w:t>公司辐射安全负责人、作业项目点负责人、现场安全员和操作人员分别持有的辐射安全与防护中级培训合格证书。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92" w:hRule="atLeast"/>
          <w:jc w:val="center"/>
        </w:trPr>
        <w:tc>
          <w:tcPr>
            <w:tcW w:w="4469" w:type="dxa"/>
            <w:gridSpan w:val="4"/>
            <w:tcBorders>
              <w:top w:val="single" w:color="auto" w:sz="4" w:space="0"/>
              <w:left w:val="single" w:color="auto" w:sz="4" w:space="0"/>
              <w:right w:val="single" w:color="auto" w:sz="4" w:space="0"/>
            </w:tcBorders>
            <w:shd w:val="clear" w:color="auto" w:fill="auto"/>
            <w:vAlign w:val="center"/>
          </w:tcPr>
          <w:p>
            <w:pPr>
              <w:widowControl/>
              <w:spacing w:line="320" w:lineRule="exact"/>
              <w:jc w:val="left"/>
              <w:rPr>
                <w:rFonts w:eastAsia="宋体"/>
                <w:bCs/>
                <w:kern w:val="0"/>
                <w:sz w:val="21"/>
                <w:szCs w:val="21"/>
              </w:rPr>
            </w:pPr>
            <w:r>
              <w:rPr>
                <w:rFonts w:eastAsia="宋体"/>
                <w:bCs/>
                <w:kern w:val="0"/>
                <w:sz w:val="21"/>
                <w:szCs w:val="21"/>
              </w:rPr>
              <w:t>使用（移入）地</w:t>
            </w:r>
            <w:r>
              <w:rPr>
                <w:rFonts w:hint="eastAsia" w:eastAsia="宋体"/>
                <w:bCs/>
                <w:kern w:val="0"/>
                <w:sz w:val="21"/>
                <w:szCs w:val="21"/>
              </w:rPr>
              <w:t>生态环境</w:t>
            </w:r>
            <w:r>
              <w:rPr>
                <w:rFonts w:eastAsia="宋体"/>
                <w:bCs/>
                <w:kern w:val="0"/>
                <w:sz w:val="21"/>
                <w:szCs w:val="21"/>
              </w:rPr>
              <w:t>部门确认：</w:t>
            </w:r>
          </w:p>
          <w:p>
            <w:pPr>
              <w:widowControl/>
              <w:spacing w:line="320" w:lineRule="exact"/>
              <w:jc w:val="left"/>
              <w:rPr>
                <w:rFonts w:eastAsia="宋体"/>
                <w:bCs/>
                <w:kern w:val="0"/>
                <w:sz w:val="21"/>
                <w:szCs w:val="21"/>
              </w:rPr>
            </w:pPr>
          </w:p>
          <w:p>
            <w:pPr>
              <w:widowControl/>
              <w:spacing w:line="320" w:lineRule="exact"/>
              <w:jc w:val="left"/>
              <w:rPr>
                <w:rFonts w:eastAsia="宋体"/>
                <w:bCs/>
                <w:kern w:val="0"/>
                <w:sz w:val="21"/>
                <w:szCs w:val="21"/>
              </w:rPr>
            </w:pPr>
          </w:p>
          <w:p>
            <w:pPr>
              <w:widowControl/>
              <w:spacing w:line="320" w:lineRule="exact"/>
              <w:jc w:val="left"/>
              <w:rPr>
                <w:rFonts w:eastAsia="宋体"/>
                <w:bCs/>
                <w:kern w:val="0"/>
                <w:sz w:val="21"/>
                <w:szCs w:val="21"/>
              </w:rPr>
            </w:pPr>
          </w:p>
          <w:p>
            <w:pPr>
              <w:widowControl/>
              <w:spacing w:line="320" w:lineRule="exact"/>
              <w:jc w:val="left"/>
              <w:rPr>
                <w:rFonts w:eastAsia="宋体"/>
                <w:bCs/>
                <w:kern w:val="0"/>
                <w:sz w:val="21"/>
                <w:szCs w:val="21"/>
              </w:rPr>
            </w:pPr>
          </w:p>
          <w:p>
            <w:pPr>
              <w:widowControl/>
              <w:spacing w:line="320" w:lineRule="exact"/>
              <w:jc w:val="center"/>
              <w:rPr>
                <w:rFonts w:eastAsia="宋体"/>
                <w:bCs/>
                <w:kern w:val="0"/>
                <w:sz w:val="21"/>
                <w:szCs w:val="21"/>
              </w:rPr>
            </w:pPr>
            <w:r>
              <w:rPr>
                <w:rFonts w:eastAsia="宋体"/>
                <w:bCs/>
                <w:kern w:val="0"/>
                <w:sz w:val="21"/>
                <w:szCs w:val="21"/>
              </w:rPr>
              <w:t>                  经办人：                               （公章）       年      月     日</w:t>
            </w:r>
          </w:p>
        </w:tc>
        <w:tc>
          <w:tcPr>
            <w:tcW w:w="4494" w:type="dxa"/>
            <w:gridSpan w:val="6"/>
            <w:tcBorders>
              <w:top w:val="single" w:color="auto" w:sz="4" w:space="0"/>
              <w:left w:val="single" w:color="auto" w:sz="4" w:space="0"/>
              <w:right w:val="single" w:color="auto" w:sz="4" w:space="0"/>
            </w:tcBorders>
            <w:shd w:val="clear" w:color="auto" w:fill="auto"/>
            <w:vAlign w:val="center"/>
          </w:tcPr>
          <w:p>
            <w:pPr>
              <w:widowControl/>
              <w:spacing w:line="320" w:lineRule="exact"/>
              <w:jc w:val="left"/>
              <w:rPr>
                <w:rFonts w:eastAsia="宋体"/>
                <w:bCs/>
                <w:kern w:val="0"/>
                <w:sz w:val="21"/>
                <w:szCs w:val="21"/>
              </w:rPr>
            </w:pPr>
            <w:r>
              <w:rPr>
                <w:rFonts w:eastAsia="宋体"/>
                <w:bCs/>
                <w:kern w:val="0"/>
                <w:sz w:val="21"/>
                <w:szCs w:val="21"/>
              </w:rPr>
              <w:t>使用（移入）地</w:t>
            </w:r>
            <w:r>
              <w:rPr>
                <w:rFonts w:hint="eastAsia" w:eastAsia="宋体"/>
                <w:bCs/>
                <w:kern w:val="0"/>
                <w:sz w:val="21"/>
                <w:szCs w:val="21"/>
              </w:rPr>
              <w:t>生态环境</w:t>
            </w:r>
            <w:r>
              <w:rPr>
                <w:rFonts w:eastAsia="宋体"/>
                <w:bCs/>
                <w:kern w:val="0"/>
                <w:sz w:val="21"/>
                <w:szCs w:val="21"/>
              </w:rPr>
              <w:t>部门注销：</w:t>
            </w:r>
          </w:p>
          <w:p>
            <w:pPr>
              <w:widowControl/>
              <w:spacing w:line="320" w:lineRule="exact"/>
              <w:jc w:val="left"/>
              <w:rPr>
                <w:rFonts w:eastAsia="宋体"/>
                <w:bCs/>
                <w:kern w:val="0"/>
                <w:sz w:val="21"/>
                <w:szCs w:val="21"/>
              </w:rPr>
            </w:pPr>
          </w:p>
          <w:p>
            <w:pPr>
              <w:widowControl/>
              <w:spacing w:line="320" w:lineRule="exact"/>
              <w:jc w:val="left"/>
              <w:rPr>
                <w:rFonts w:eastAsia="宋体"/>
                <w:bCs/>
                <w:kern w:val="0"/>
                <w:sz w:val="21"/>
                <w:szCs w:val="21"/>
              </w:rPr>
            </w:pPr>
          </w:p>
          <w:p>
            <w:pPr>
              <w:widowControl/>
              <w:spacing w:line="320" w:lineRule="exact"/>
              <w:jc w:val="left"/>
              <w:rPr>
                <w:rFonts w:eastAsia="宋体"/>
                <w:bCs/>
                <w:kern w:val="0"/>
                <w:sz w:val="21"/>
                <w:szCs w:val="21"/>
              </w:rPr>
            </w:pPr>
          </w:p>
          <w:p>
            <w:pPr>
              <w:widowControl/>
              <w:spacing w:line="320" w:lineRule="exact"/>
              <w:jc w:val="center"/>
              <w:rPr>
                <w:rFonts w:eastAsia="宋体"/>
                <w:bCs/>
                <w:kern w:val="0"/>
                <w:sz w:val="21"/>
                <w:szCs w:val="21"/>
              </w:rPr>
            </w:pPr>
          </w:p>
          <w:p>
            <w:pPr>
              <w:widowControl/>
              <w:spacing w:line="320" w:lineRule="exact"/>
              <w:jc w:val="center"/>
              <w:rPr>
                <w:rFonts w:eastAsia="宋体"/>
                <w:bCs/>
                <w:kern w:val="0"/>
                <w:sz w:val="21"/>
                <w:szCs w:val="21"/>
              </w:rPr>
            </w:pPr>
            <w:r>
              <w:rPr>
                <w:rFonts w:eastAsia="宋体"/>
                <w:bCs/>
                <w:kern w:val="0"/>
                <w:sz w:val="21"/>
                <w:szCs w:val="21"/>
              </w:rPr>
              <w:t xml:space="preserve">             经办人：</w:t>
            </w:r>
          </w:p>
          <w:p>
            <w:pPr>
              <w:widowControl/>
              <w:spacing w:line="320" w:lineRule="exact"/>
              <w:jc w:val="center"/>
              <w:rPr>
                <w:rFonts w:eastAsia="宋体"/>
                <w:bCs/>
                <w:kern w:val="0"/>
                <w:sz w:val="21"/>
                <w:szCs w:val="21"/>
              </w:rPr>
            </w:pPr>
            <w:r>
              <w:rPr>
                <w:rFonts w:eastAsia="宋体"/>
                <w:bCs/>
                <w:kern w:val="0"/>
                <w:sz w:val="21"/>
                <w:szCs w:val="21"/>
              </w:rPr>
              <w:t>（公章）         年      月    日</w:t>
            </w:r>
          </w:p>
        </w:tc>
      </w:tr>
    </w:tbl>
    <w:p>
      <w:pPr>
        <w:widowControl/>
        <w:spacing w:line="300" w:lineRule="exact"/>
        <w:ind w:firstLine="152" w:firstLineChars="85"/>
        <w:jc w:val="left"/>
        <w:rPr>
          <w:bCs/>
          <w:kern w:val="0"/>
          <w:sz w:val="18"/>
          <w:szCs w:val="21"/>
        </w:rPr>
      </w:pPr>
      <w:r>
        <w:rPr>
          <w:bCs/>
          <w:kern w:val="0"/>
          <w:sz w:val="18"/>
          <w:szCs w:val="21"/>
        </w:rPr>
        <w:t>说明：</w:t>
      </w:r>
    </w:p>
    <w:p>
      <w:pPr>
        <w:widowControl/>
        <w:spacing w:line="300" w:lineRule="exact"/>
        <w:ind w:firstLine="328" w:firstLineChars="184"/>
        <w:jc w:val="left"/>
        <w:rPr>
          <w:bCs/>
          <w:kern w:val="0"/>
          <w:sz w:val="18"/>
          <w:szCs w:val="21"/>
        </w:rPr>
      </w:pPr>
      <w:r>
        <w:rPr>
          <w:bCs/>
          <w:kern w:val="0"/>
          <w:sz w:val="18"/>
          <w:szCs w:val="21"/>
        </w:rPr>
        <w:t>1．辐射工作单位应当于转移活动实施前10日内，</w:t>
      </w:r>
      <w:r>
        <w:rPr>
          <w:rFonts w:hint="eastAsia"/>
          <w:bCs/>
          <w:kern w:val="0"/>
          <w:sz w:val="18"/>
          <w:szCs w:val="21"/>
        </w:rPr>
        <w:t>且至少提前5日，</w:t>
      </w:r>
      <w:r>
        <w:rPr>
          <w:bCs/>
          <w:kern w:val="0"/>
          <w:sz w:val="18"/>
          <w:szCs w:val="21"/>
        </w:rPr>
        <w:t>向使用地</w:t>
      </w:r>
      <w:r>
        <w:rPr>
          <w:rFonts w:hint="eastAsia"/>
          <w:bCs/>
          <w:kern w:val="0"/>
          <w:sz w:val="18"/>
          <w:szCs w:val="21"/>
        </w:rPr>
        <w:t>生态环境</w:t>
      </w:r>
      <w:r>
        <w:rPr>
          <w:bCs/>
          <w:kern w:val="0"/>
          <w:sz w:val="18"/>
          <w:szCs w:val="21"/>
        </w:rPr>
        <w:t>部门报告；在</w:t>
      </w:r>
      <w:r>
        <w:rPr>
          <w:rFonts w:hint="eastAsia"/>
          <w:bCs/>
          <w:kern w:val="0"/>
          <w:sz w:val="18"/>
          <w:szCs w:val="21"/>
        </w:rPr>
        <w:t>放射源计划离开基地10</w:t>
      </w:r>
      <w:r>
        <w:rPr>
          <w:bCs/>
          <w:kern w:val="0"/>
          <w:sz w:val="18"/>
          <w:szCs w:val="21"/>
        </w:rPr>
        <w:t>日内，向使用地</w:t>
      </w:r>
      <w:r>
        <w:rPr>
          <w:rFonts w:hint="eastAsia"/>
          <w:bCs/>
          <w:kern w:val="0"/>
          <w:sz w:val="18"/>
          <w:szCs w:val="21"/>
        </w:rPr>
        <w:t>生态环境</w:t>
      </w:r>
      <w:r>
        <w:rPr>
          <w:bCs/>
          <w:kern w:val="0"/>
          <w:sz w:val="18"/>
          <w:szCs w:val="21"/>
        </w:rPr>
        <w:t>部门报告注销。</w:t>
      </w:r>
    </w:p>
    <w:p>
      <w:pPr>
        <w:widowControl/>
        <w:spacing w:line="300" w:lineRule="exact"/>
        <w:ind w:firstLine="328" w:firstLineChars="184"/>
        <w:jc w:val="left"/>
        <w:rPr>
          <w:bCs/>
          <w:kern w:val="0"/>
          <w:sz w:val="18"/>
          <w:szCs w:val="21"/>
        </w:rPr>
      </w:pPr>
      <w:r>
        <w:rPr>
          <w:bCs/>
          <w:kern w:val="0"/>
          <w:sz w:val="18"/>
          <w:szCs w:val="21"/>
        </w:rPr>
        <w:t>2．本备案表一式3份。辐射工作单位完成报告后，将本表1份留使用地</w:t>
      </w:r>
      <w:r>
        <w:rPr>
          <w:rFonts w:hint="eastAsia"/>
          <w:bCs/>
          <w:kern w:val="0"/>
          <w:sz w:val="18"/>
          <w:szCs w:val="21"/>
        </w:rPr>
        <w:t>生态环境</w:t>
      </w:r>
      <w:r>
        <w:rPr>
          <w:bCs/>
          <w:kern w:val="0"/>
          <w:sz w:val="18"/>
          <w:szCs w:val="21"/>
        </w:rPr>
        <w:t>部门，自存2份，在报告注销时提供自存的2份报告表，在完成报告注销后，再将本表1份留使用地</w:t>
      </w:r>
      <w:r>
        <w:rPr>
          <w:rFonts w:hint="eastAsia"/>
          <w:bCs/>
          <w:kern w:val="0"/>
          <w:sz w:val="18"/>
          <w:szCs w:val="21"/>
        </w:rPr>
        <w:t>生态环境</w:t>
      </w:r>
      <w:r>
        <w:rPr>
          <w:bCs/>
          <w:kern w:val="0"/>
          <w:sz w:val="18"/>
          <w:szCs w:val="21"/>
        </w:rPr>
        <w:t>部门，自存1份。</w:t>
      </w:r>
    </w:p>
    <w:p>
      <w:pPr>
        <w:widowControl/>
        <w:spacing w:line="300" w:lineRule="exact"/>
        <w:ind w:firstLine="328" w:firstLineChars="184"/>
        <w:jc w:val="left"/>
      </w:pPr>
      <w:r>
        <w:rPr>
          <w:bCs/>
          <w:kern w:val="0"/>
          <w:sz w:val="18"/>
          <w:szCs w:val="21"/>
        </w:rPr>
        <w:t>3．备案编号由使用地</w:t>
      </w:r>
      <w:r>
        <w:rPr>
          <w:rFonts w:hint="eastAsia"/>
          <w:bCs/>
          <w:kern w:val="0"/>
          <w:sz w:val="18"/>
          <w:szCs w:val="21"/>
        </w:rPr>
        <w:t>生态环境局</w:t>
      </w:r>
      <w:r>
        <w:rPr>
          <w:bCs/>
          <w:kern w:val="0"/>
          <w:sz w:val="18"/>
          <w:szCs w:val="21"/>
        </w:rPr>
        <w:t>部门填写。</w:t>
      </w:r>
    </w:p>
    <w:sectPr>
      <w:headerReference r:id="rId3" w:type="default"/>
      <w:footerReference r:id="rId5" w:type="default"/>
      <w:headerReference r:id="rId4" w:type="even"/>
      <w:footerReference r:id="rId6" w:type="even"/>
      <w:pgSz w:w="11906" w:h="16838"/>
      <w:pgMar w:top="2098" w:right="1588" w:bottom="2098" w:left="1588" w:header="851" w:footer="1191" w:gutter="0"/>
      <w:cols w:space="425" w:num="1"/>
      <w:docGrid w:type="linesAndChars" w:linePitch="577"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jc w:val="right"/>
      <w:rPr>
        <w:rStyle w:val="6"/>
        <w:rFonts w:ascii="宋体" w:hAnsi="宋体" w:eastAsia="宋体"/>
        <w:sz w:val="28"/>
        <w:szCs w:val="28"/>
      </w:rPr>
    </w:pPr>
    <w:r>
      <w:rPr>
        <w:rStyle w:val="6"/>
        <w:rFonts w:hint="eastAsia" w:ascii="宋体" w:hAnsi="宋体" w:eastAsia="宋体"/>
        <w:sz w:val="28"/>
        <w:szCs w:val="28"/>
      </w:rPr>
      <w:t>—</w:t>
    </w:r>
    <w:r>
      <w:rPr>
        <w:rStyle w:val="6"/>
        <w:rFonts w:hint="eastAsia" w:ascii="宋体" w:hAnsi="宋体" w:eastAsia="宋体"/>
        <w:sz w:val="28"/>
        <w:szCs w:val="28"/>
      </w:rPr>
      <w:fldChar w:fldCharType="begin"/>
    </w:r>
    <w:r>
      <w:rPr>
        <w:rStyle w:val="6"/>
        <w:rFonts w:hint="eastAsia" w:ascii="宋体" w:hAnsi="宋体" w:eastAsia="宋体"/>
        <w:sz w:val="28"/>
        <w:szCs w:val="28"/>
      </w:rPr>
      <w:instrText xml:space="preserve">PAGE  </w:instrText>
    </w:r>
    <w:r>
      <w:rPr>
        <w:rStyle w:val="6"/>
        <w:rFonts w:hint="eastAsia" w:ascii="宋体" w:hAnsi="宋体" w:eastAsia="宋体"/>
        <w:sz w:val="28"/>
        <w:szCs w:val="28"/>
      </w:rPr>
      <w:fldChar w:fldCharType="separate"/>
    </w:r>
    <w:r>
      <w:rPr>
        <w:rStyle w:val="6"/>
        <w:rFonts w:ascii="宋体" w:hAnsi="宋体" w:eastAsia="宋体"/>
        <w:sz w:val="28"/>
        <w:szCs w:val="28"/>
      </w:rPr>
      <w:t>1</w:t>
    </w:r>
    <w:r>
      <w:rPr>
        <w:rStyle w:val="6"/>
        <w:rFonts w:hint="eastAsia" w:ascii="宋体" w:hAnsi="宋体" w:eastAsia="宋体"/>
        <w:sz w:val="28"/>
        <w:szCs w:val="28"/>
      </w:rPr>
      <w:fldChar w:fldCharType="end"/>
    </w:r>
    <w:r>
      <w:rPr>
        <w:rStyle w:val="6"/>
        <w:rFonts w:hint="eastAsia" w:ascii="宋体" w:hAnsi="宋体" w:eastAsia="宋体"/>
        <w:sz w:val="28"/>
        <w:szCs w:val="28"/>
      </w:rPr>
      <w:t>—</w:t>
    </w:r>
  </w:p>
  <w:p>
    <w:pPr>
      <w:pStyle w:val="2"/>
      <w:ind w:left="320" w:leftChars="100" w:right="320" w:rightChars="100"/>
      <w:jc w:val="right"/>
      <w:rPr>
        <w:rStyle w:val="6"/>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rPr>
        <w:rStyle w:val="6"/>
        <w:rFonts w:ascii="宋体" w:hAnsi="宋体" w:eastAsia="宋体"/>
        <w:sz w:val="28"/>
        <w:szCs w:val="28"/>
      </w:rPr>
    </w:pPr>
    <w:r>
      <w:rPr>
        <w:rStyle w:val="6"/>
        <w:rFonts w:hint="eastAsia" w:ascii="宋体" w:hAnsi="宋体" w:eastAsia="宋体"/>
        <w:sz w:val="28"/>
        <w:szCs w:val="28"/>
      </w:rPr>
      <w:t>—</w:t>
    </w:r>
    <w:r>
      <w:rPr>
        <w:rStyle w:val="6"/>
        <w:rFonts w:hint="eastAsia" w:ascii="宋体" w:hAnsi="宋体" w:eastAsia="宋体"/>
        <w:sz w:val="28"/>
        <w:szCs w:val="28"/>
      </w:rPr>
      <w:fldChar w:fldCharType="begin"/>
    </w:r>
    <w:r>
      <w:rPr>
        <w:rStyle w:val="6"/>
        <w:rFonts w:hint="eastAsia" w:ascii="宋体" w:hAnsi="宋体" w:eastAsia="宋体"/>
        <w:sz w:val="28"/>
        <w:szCs w:val="28"/>
      </w:rPr>
      <w:instrText xml:space="preserve">PAGE  </w:instrText>
    </w:r>
    <w:r>
      <w:rPr>
        <w:rStyle w:val="6"/>
        <w:rFonts w:hint="eastAsia" w:ascii="宋体" w:hAnsi="宋体" w:eastAsia="宋体"/>
        <w:sz w:val="28"/>
        <w:szCs w:val="28"/>
      </w:rPr>
      <w:fldChar w:fldCharType="separate"/>
    </w:r>
    <w:r>
      <w:rPr>
        <w:rStyle w:val="6"/>
        <w:rFonts w:ascii="宋体" w:hAnsi="宋体" w:eastAsia="宋体"/>
        <w:sz w:val="28"/>
        <w:szCs w:val="28"/>
      </w:rPr>
      <w:t>10</w:t>
    </w:r>
    <w:r>
      <w:rPr>
        <w:rStyle w:val="6"/>
        <w:rFonts w:hint="eastAsia" w:ascii="宋体" w:hAnsi="宋体" w:eastAsia="宋体"/>
        <w:sz w:val="28"/>
        <w:szCs w:val="28"/>
      </w:rPr>
      <w:fldChar w:fldCharType="end"/>
    </w:r>
    <w:r>
      <w:rPr>
        <w:rStyle w:val="6"/>
        <w:rFonts w:hint="eastAsia" w:ascii="宋体" w:hAnsi="宋体" w:eastAsia="宋体"/>
        <w:sz w:val="28"/>
        <w:szCs w:val="28"/>
      </w:rPr>
      <w:t>—</w:t>
    </w:r>
  </w:p>
  <w:p>
    <w:pPr>
      <w:pStyle w:val="2"/>
      <w:ind w:left="320" w:leftChars="1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30664"/>
    <w:rsid w:val="00030598"/>
    <w:rsid w:val="00196200"/>
    <w:rsid w:val="00200B5F"/>
    <w:rsid w:val="00231535"/>
    <w:rsid w:val="003B02A1"/>
    <w:rsid w:val="0058376C"/>
    <w:rsid w:val="007C26C0"/>
    <w:rsid w:val="00941677"/>
    <w:rsid w:val="009B5FCF"/>
    <w:rsid w:val="009F4528"/>
    <w:rsid w:val="00D41BA4"/>
    <w:rsid w:val="00D469C2"/>
    <w:rsid w:val="074F6418"/>
    <w:rsid w:val="12D527C3"/>
    <w:rsid w:val="13714B28"/>
    <w:rsid w:val="13F67D28"/>
    <w:rsid w:val="159F6D28"/>
    <w:rsid w:val="19057689"/>
    <w:rsid w:val="1A221C2B"/>
    <w:rsid w:val="1FDA1ED7"/>
    <w:rsid w:val="269D3253"/>
    <w:rsid w:val="26DF6EF5"/>
    <w:rsid w:val="273627DF"/>
    <w:rsid w:val="301F27DB"/>
    <w:rsid w:val="3CCC64CC"/>
    <w:rsid w:val="3F90668D"/>
    <w:rsid w:val="429D0B00"/>
    <w:rsid w:val="5FA17D24"/>
    <w:rsid w:val="643F0A29"/>
    <w:rsid w:val="65530664"/>
    <w:rsid w:val="67DA1CEE"/>
    <w:rsid w:val="6FA2707F"/>
    <w:rsid w:val="72F3608A"/>
    <w:rsid w:val="7B297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565</Words>
  <Characters>3221</Characters>
  <Lines>26</Lines>
  <Paragraphs>7</Paragraphs>
  <TotalTime>1</TotalTime>
  <ScaleCrop>false</ScaleCrop>
  <LinksUpToDate>false</LinksUpToDate>
  <CharactersWithSpaces>3779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2020-10-10T08:08:00Z</dcterms:created>
  <dc:creator>欢小喜</dc:creator>
  <cp:lastModifiedBy>欢小喜</cp:lastModifiedBy>
  <dcterms:modified xsi:type="dcterms:W3CDTF">2021-01-22T02:22:38Z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