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1" w:type="pct"/>
        <w:jc w:val="center"/>
        <w:tblCellSpacing w:w="0" w:type="dxa"/>
        <w:tblCellMar>
          <w:left w:w="0" w:type="dxa"/>
          <w:right w:w="0" w:type="dxa"/>
        </w:tblCellMar>
        <w:tblLook w:val="0000"/>
      </w:tblPr>
      <w:tblGrid>
        <w:gridCol w:w="9081"/>
      </w:tblGrid>
      <w:tr w:rsidR="009B5773" w:rsidRPr="00971BE0">
        <w:trPr>
          <w:trHeight w:val="600"/>
          <w:tblCellSpacing w:w="0" w:type="dxa"/>
          <w:jc w:val="center"/>
        </w:trPr>
        <w:tc>
          <w:tcPr>
            <w:tcW w:w="5000" w:type="pct"/>
            <w:vAlign w:val="center"/>
          </w:tcPr>
          <w:p w:rsidR="009B5773" w:rsidRPr="00971BE0" w:rsidRDefault="009B5773" w:rsidP="007B2661">
            <w:pPr>
              <w:widowControl/>
              <w:spacing w:line="360" w:lineRule="auto"/>
              <w:jc w:val="center"/>
              <w:rPr>
                <w:rFonts w:ascii="宋体" w:eastAsia="宋体" w:cs="Times New Roman"/>
                <w:color w:val="000000"/>
                <w:kern w:val="0"/>
                <w:sz w:val="48"/>
                <w:szCs w:val="48"/>
              </w:rPr>
            </w:pPr>
          </w:p>
        </w:tc>
      </w:tr>
      <w:tr w:rsidR="009B5773" w:rsidRPr="00971BE0">
        <w:trPr>
          <w:trHeight w:val="450"/>
          <w:tblCellSpacing w:w="0" w:type="dxa"/>
          <w:jc w:val="center"/>
        </w:trPr>
        <w:tc>
          <w:tcPr>
            <w:tcW w:w="5000" w:type="pct"/>
            <w:vAlign w:val="center"/>
          </w:tcPr>
          <w:p w:rsidR="009B5773" w:rsidRPr="00971BE0" w:rsidRDefault="009B5773" w:rsidP="007B2661">
            <w:pPr>
              <w:widowControl/>
              <w:spacing w:line="360" w:lineRule="auto"/>
              <w:jc w:val="left"/>
              <w:rPr>
                <w:rFonts w:ascii="Verdana" w:hAnsi="Verdana" w:cs="Verdana"/>
                <w:color w:val="000000"/>
                <w:kern w:val="0"/>
                <w:sz w:val="18"/>
                <w:szCs w:val="18"/>
              </w:rPr>
            </w:pPr>
            <w:r w:rsidRPr="00971BE0">
              <w:rPr>
                <w:rFonts w:ascii="Verdana" w:hAnsi="Verdana" w:cs="Verdana"/>
                <w:color w:val="000000"/>
                <w:kern w:val="0"/>
                <w:sz w:val="18"/>
                <w:szCs w:val="18"/>
              </w:rPr>
              <w:t xml:space="preserve">  </w:t>
            </w:r>
          </w:p>
        </w:tc>
      </w:tr>
      <w:tr w:rsidR="009B5773" w:rsidRPr="00971BE0">
        <w:trPr>
          <w:trHeight w:val="1200"/>
          <w:tblCellSpacing w:w="0" w:type="dxa"/>
          <w:jc w:val="center"/>
        </w:trPr>
        <w:tc>
          <w:tcPr>
            <w:tcW w:w="5000" w:type="pct"/>
            <w:vAlign w:val="center"/>
          </w:tcPr>
          <w:p w:rsidR="009B5773" w:rsidRPr="00971BE0" w:rsidRDefault="009B5773" w:rsidP="007B2661">
            <w:pPr>
              <w:widowControl/>
              <w:spacing w:line="360" w:lineRule="auto"/>
              <w:jc w:val="center"/>
              <w:rPr>
                <w:rFonts w:ascii="宋体" w:eastAsia="宋体" w:cs="Times New Roman"/>
                <w:color w:val="000000"/>
                <w:kern w:val="0"/>
                <w:sz w:val="72"/>
                <w:szCs w:val="72"/>
              </w:rPr>
            </w:pPr>
          </w:p>
        </w:tc>
      </w:tr>
      <w:tr w:rsidR="009B5773" w:rsidRPr="00971BE0">
        <w:trPr>
          <w:tblCellSpacing w:w="0" w:type="dxa"/>
          <w:jc w:val="center"/>
        </w:trPr>
        <w:tc>
          <w:tcPr>
            <w:tcW w:w="5000" w:type="pct"/>
            <w:vAlign w:val="center"/>
          </w:tcPr>
          <w:p w:rsidR="009B5773" w:rsidRPr="00971BE0" w:rsidRDefault="009B5773" w:rsidP="007B2661">
            <w:pPr>
              <w:widowControl/>
              <w:spacing w:line="225" w:lineRule="atLeast"/>
              <w:jc w:val="left"/>
              <w:rPr>
                <w:rFonts w:ascii="Verdana" w:hAnsi="Verdana" w:cs="Verdana"/>
                <w:color w:val="000000"/>
                <w:kern w:val="0"/>
                <w:sz w:val="18"/>
                <w:szCs w:val="18"/>
              </w:rPr>
            </w:pPr>
          </w:p>
        </w:tc>
      </w:tr>
      <w:tr w:rsidR="009B5773" w:rsidRPr="00971BE0">
        <w:trPr>
          <w:trHeight w:val="450"/>
          <w:tblCellSpacing w:w="0" w:type="dxa"/>
          <w:jc w:val="center"/>
        </w:trPr>
        <w:tc>
          <w:tcPr>
            <w:tcW w:w="5000" w:type="pct"/>
            <w:vAlign w:val="center"/>
          </w:tcPr>
          <w:p w:rsidR="009B5773" w:rsidRPr="00971BE0" w:rsidRDefault="009B5773" w:rsidP="007B2661">
            <w:pPr>
              <w:widowControl/>
              <w:spacing w:line="225" w:lineRule="atLeast"/>
              <w:jc w:val="center"/>
              <w:rPr>
                <w:rFonts w:ascii="宋体" w:eastAsia="宋体" w:cs="Times New Roman"/>
                <w:color w:val="000000"/>
                <w:kern w:val="0"/>
                <w:sz w:val="27"/>
                <w:szCs w:val="27"/>
              </w:rPr>
            </w:pPr>
          </w:p>
        </w:tc>
      </w:tr>
      <w:tr w:rsidR="009B5773" w:rsidRPr="00971BE0">
        <w:trPr>
          <w:trHeight w:val="450"/>
          <w:tblCellSpacing w:w="0" w:type="dxa"/>
          <w:jc w:val="center"/>
        </w:trPr>
        <w:tc>
          <w:tcPr>
            <w:tcW w:w="5000" w:type="pct"/>
            <w:vAlign w:val="center"/>
          </w:tcPr>
          <w:p w:rsidR="009B5773" w:rsidRPr="00971BE0" w:rsidRDefault="009B5773" w:rsidP="007B2661">
            <w:pPr>
              <w:widowControl/>
              <w:spacing w:line="560" w:lineRule="exact"/>
              <w:jc w:val="center"/>
              <w:rPr>
                <w:rFonts w:ascii="宋体" w:eastAsia="宋体" w:cs="Times New Roman"/>
                <w:b/>
                <w:bCs/>
                <w:color w:val="000000"/>
                <w:kern w:val="0"/>
              </w:rPr>
            </w:pPr>
            <w:r w:rsidRPr="00971BE0">
              <w:rPr>
                <w:rFonts w:ascii="宋体" w:hAnsi="宋体" w:cs="宋体"/>
                <w:b/>
                <w:bCs/>
                <w:color w:val="000000"/>
                <w:kern w:val="0"/>
              </w:rPr>
              <w:t>201</w:t>
            </w:r>
            <w:r>
              <w:rPr>
                <w:rFonts w:ascii="宋体" w:hAnsi="宋体" w:cs="宋体"/>
                <w:b/>
                <w:bCs/>
                <w:color w:val="000000"/>
                <w:kern w:val="0"/>
              </w:rPr>
              <w:t>8</w:t>
            </w:r>
            <w:r w:rsidRPr="00971BE0">
              <w:rPr>
                <w:rFonts w:ascii="宋体" w:hAnsi="宋体" w:hint="eastAsia"/>
                <w:b/>
                <w:bCs/>
                <w:color w:val="000000"/>
                <w:kern w:val="0"/>
              </w:rPr>
              <w:t>年第</w:t>
            </w:r>
            <w:r>
              <w:rPr>
                <w:rFonts w:ascii="宋体" w:hAnsi="宋体" w:cs="宋体"/>
                <w:b/>
                <w:bCs/>
                <w:color w:val="000000"/>
                <w:kern w:val="0"/>
              </w:rPr>
              <w:t>7</w:t>
            </w:r>
            <w:r w:rsidRPr="00971BE0">
              <w:rPr>
                <w:rFonts w:ascii="宋体" w:hAnsi="宋体" w:hint="eastAsia"/>
                <w:b/>
                <w:bCs/>
                <w:color w:val="000000"/>
                <w:kern w:val="0"/>
              </w:rPr>
              <w:t>期</w:t>
            </w:r>
          </w:p>
          <w:p w:rsidR="009B5773" w:rsidRPr="00971BE0" w:rsidRDefault="009B5773" w:rsidP="007B2661">
            <w:pPr>
              <w:widowControl/>
              <w:spacing w:line="560" w:lineRule="exact"/>
              <w:jc w:val="center"/>
              <w:rPr>
                <w:rFonts w:ascii="宋体" w:eastAsia="宋体" w:cs="Times New Roman"/>
                <w:b/>
                <w:bCs/>
                <w:color w:val="000000"/>
                <w:kern w:val="0"/>
              </w:rPr>
            </w:pPr>
            <w:r w:rsidRPr="00014C3D">
              <w:rPr>
                <w:rFonts w:ascii="宋体" w:eastAsia="宋体" w:hAnsi="宋体" w:cs="宋体" w:hint="eastAsia"/>
                <w:b/>
                <w:bCs/>
                <w:color w:val="000000"/>
                <w:kern w:val="0"/>
              </w:rPr>
              <w:t>（总第</w:t>
            </w:r>
            <w:r>
              <w:rPr>
                <w:rFonts w:ascii="宋体" w:eastAsia="宋体" w:hAnsi="宋体" w:cs="宋体"/>
                <w:b/>
                <w:bCs/>
                <w:color w:val="000000"/>
                <w:kern w:val="0"/>
              </w:rPr>
              <w:t>29</w:t>
            </w:r>
            <w:r w:rsidRPr="00014C3D">
              <w:rPr>
                <w:rFonts w:ascii="宋体" w:eastAsia="宋体" w:hAnsi="宋体" w:cs="宋体" w:hint="eastAsia"/>
                <w:b/>
                <w:bCs/>
                <w:color w:val="000000"/>
                <w:kern w:val="0"/>
              </w:rPr>
              <w:t>期）</w:t>
            </w:r>
          </w:p>
        </w:tc>
      </w:tr>
      <w:tr w:rsidR="009B5773" w:rsidRPr="00971BE0">
        <w:trPr>
          <w:trHeight w:val="450"/>
          <w:tblCellSpacing w:w="0" w:type="dxa"/>
          <w:jc w:val="center"/>
        </w:trPr>
        <w:tc>
          <w:tcPr>
            <w:tcW w:w="5000" w:type="pct"/>
            <w:vAlign w:val="center"/>
          </w:tcPr>
          <w:p w:rsidR="009B5773" w:rsidRPr="00FC1CD4" w:rsidRDefault="009B5773" w:rsidP="007B2661">
            <w:pPr>
              <w:widowControl/>
              <w:spacing w:line="225" w:lineRule="atLeast"/>
              <w:jc w:val="left"/>
              <w:rPr>
                <w:rFonts w:ascii="宋体" w:eastAsia="宋体" w:cs="Times New Roman"/>
                <w:color w:val="000000"/>
                <w:kern w:val="0"/>
                <w:sz w:val="28"/>
                <w:szCs w:val="28"/>
              </w:rPr>
            </w:pPr>
            <w:r w:rsidRPr="00FC1CD4">
              <w:rPr>
                <w:rFonts w:ascii="宋体" w:hAnsi="宋体" w:hint="eastAsia"/>
                <w:color w:val="000000"/>
                <w:kern w:val="0"/>
                <w:sz w:val="28"/>
                <w:szCs w:val="28"/>
              </w:rPr>
              <w:t>市委市政府美丽舟山建设领导小组办公室</w:t>
            </w:r>
            <w:r w:rsidRPr="00FC1CD4">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FC1CD4">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FC1CD4">
              <w:rPr>
                <w:rFonts w:ascii="宋体" w:hAnsi="宋体" w:cs="宋体"/>
                <w:color w:val="000000"/>
                <w:kern w:val="0"/>
                <w:sz w:val="28"/>
                <w:szCs w:val="28"/>
              </w:rPr>
              <w:t>201</w:t>
            </w:r>
            <w:r>
              <w:rPr>
                <w:rFonts w:ascii="宋体" w:hAnsi="宋体" w:cs="宋体"/>
                <w:color w:val="000000"/>
                <w:kern w:val="0"/>
                <w:sz w:val="28"/>
                <w:szCs w:val="28"/>
              </w:rPr>
              <w:t>8</w:t>
            </w:r>
            <w:r w:rsidRPr="00FC1CD4">
              <w:rPr>
                <w:rFonts w:ascii="宋体" w:hAnsi="宋体" w:hint="eastAsia"/>
                <w:color w:val="000000"/>
                <w:kern w:val="0"/>
                <w:sz w:val="28"/>
                <w:szCs w:val="28"/>
              </w:rPr>
              <w:t>年</w:t>
            </w:r>
            <w:r>
              <w:rPr>
                <w:rFonts w:ascii="宋体" w:hAnsi="宋体" w:cs="宋体"/>
                <w:color w:val="000000"/>
                <w:kern w:val="0"/>
                <w:sz w:val="28"/>
                <w:szCs w:val="28"/>
              </w:rPr>
              <w:t>8</w:t>
            </w:r>
            <w:r w:rsidRPr="00FC1CD4">
              <w:rPr>
                <w:rFonts w:ascii="宋体" w:hAnsi="宋体" w:hint="eastAsia"/>
                <w:color w:val="000000"/>
                <w:kern w:val="0"/>
                <w:sz w:val="28"/>
                <w:szCs w:val="28"/>
              </w:rPr>
              <w:t>月</w:t>
            </w:r>
            <w:r>
              <w:rPr>
                <w:rFonts w:ascii="宋体" w:hAnsi="宋体" w:cs="宋体"/>
                <w:color w:val="000000"/>
                <w:kern w:val="0"/>
                <w:sz w:val="28"/>
                <w:szCs w:val="28"/>
              </w:rPr>
              <w:t>2</w:t>
            </w:r>
            <w:r w:rsidRPr="00FC1CD4">
              <w:rPr>
                <w:rFonts w:ascii="宋体" w:hAnsi="宋体" w:hint="eastAsia"/>
                <w:color w:val="000000"/>
                <w:kern w:val="0"/>
                <w:sz w:val="28"/>
                <w:szCs w:val="28"/>
              </w:rPr>
              <w:t>日</w:t>
            </w:r>
            <w:r w:rsidRPr="00FC1CD4">
              <w:rPr>
                <w:rFonts w:ascii="宋体" w:hAnsi="宋体" w:cs="宋体"/>
                <w:color w:val="000000"/>
                <w:kern w:val="0"/>
                <w:sz w:val="28"/>
                <w:szCs w:val="28"/>
              </w:rPr>
              <w:t xml:space="preserve"> </w:t>
            </w:r>
          </w:p>
        </w:tc>
      </w:tr>
    </w:tbl>
    <w:p w:rsidR="009B5773" w:rsidRPr="00FF278C" w:rsidRDefault="009B5773" w:rsidP="007B2661">
      <w:pPr>
        <w:spacing w:line="620" w:lineRule="exact"/>
        <w:jc w:val="center"/>
        <w:rPr>
          <w:rFonts w:ascii="楷体_GB2312" w:eastAsia="楷体_GB2312" w:hAnsi="??" w:cs="Times New Roman"/>
          <w:b/>
          <w:bCs/>
          <w:kern w:val="0"/>
        </w:rPr>
      </w:pPr>
    </w:p>
    <w:p w:rsidR="009B5773" w:rsidRDefault="009B5773" w:rsidP="007B2661">
      <w:pPr>
        <w:numPr>
          <w:ilvl w:val="0"/>
          <w:numId w:val="1"/>
        </w:numPr>
        <w:spacing w:line="560" w:lineRule="exact"/>
        <w:ind w:left="0" w:firstLine="0"/>
        <w:rPr>
          <w:rFonts w:ascii="楷体_GB2312" w:eastAsia="楷体_GB2312" w:hAnsi="??" w:cs="Times New Roman"/>
          <w:b/>
          <w:bCs/>
          <w:kern w:val="0"/>
        </w:rPr>
      </w:pPr>
      <w:r w:rsidRPr="009D4CF9">
        <w:rPr>
          <w:rFonts w:ascii="楷体_GB2312" w:eastAsia="楷体_GB2312" w:hAnsi="??" w:cs="楷体_GB2312" w:hint="eastAsia"/>
          <w:b/>
          <w:bCs/>
          <w:kern w:val="0"/>
        </w:rPr>
        <w:t>我市打响“蓝天保卫战”</w:t>
      </w:r>
    </w:p>
    <w:p w:rsidR="009B5773" w:rsidRPr="009D4CF9" w:rsidRDefault="009B5773" w:rsidP="007B2661">
      <w:pPr>
        <w:numPr>
          <w:ilvl w:val="0"/>
          <w:numId w:val="1"/>
        </w:numPr>
        <w:spacing w:line="560" w:lineRule="exact"/>
        <w:ind w:left="0" w:firstLine="0"/>
        <w:rPr>
          <w:rFonts w:ascii="楷体_GB2312" w:eastAsia="楷体_GB2312" w:hAnsi="??" w:cs="Times New Roman"/>
          <w:b/>
          <w:bCs/>
          <w:kern w:val="0"/>
        </w:rPr>
      </w:pPr>
      <w:r w:rsidRPr="009D4CF9">
        <w:rPr>
          <w:rFonts w:ascii="楷体_GB2312" w:eastAsia="楷体_GB2312" w:hAnsi="??" w:cs="楷体_GB2312" w:hint="eastAsia"/>
          <w:b/>
          <w:bCs/>
          <w:kern w:val="0"/>
        </w:rPr>
        <w:t>连续十余年，岱山县增殖放流上亿尾鱼苗游向大海为“海上粮仓”屯田储粮</w:t>
      </w:r>
    </w:p>
    <w:p w:rsidR="009B5773" w:rsidRDefault="009B5773" w:rsidP="007B2661">
      <w:pPr>
        <w:spacing w:line="560" w:lineRule="exact"/>
        <w:rPr>
          <w:rFonts w:ascii="楷体_GB2312" w:eastAsia="楷体_GB2312" w:hAnsi="??" w:cs="Times New Roman"/>
          <w:b/>
          <w:bCs/>
          <w:kern w:val="0"/>
        </w:rPr>
      </w:pPr>
    </w:p>
    <w:p w:rsidR="009B5773" w:rsidRDefault="009B5773" w:rsidP="007B2661">
      <w:pPr>
        <w:spacing w:line="560" w:lineRule="exact"/>
        <w:rPr>
          <w:rFonts w:ascii="楷体_GB2312" w:eastAsia="楷体_GB2312" w:hAnsi="??" w:cs="Times New Roman"/>
          <w:b/>
          <w:bCs/>
          <w:kern w:val="0"/>
        </w:rPr>
      </w:pPr>
    </w:p>
    <w:p w:rsidR="009B5773" w:rsidRPr="009D4CF9" w:rsidRDefault="009B5773" w:rsidP="009D4CF9">
      <w:pPr>
        <w:jc w:val="center"/>
        <w:rPr>
          <w:rFonts w:ascii="方正小标宋简体" w:eastAsia="方正小标宋简体" w:hAnsi="黑体" w:cs="Times New Roman"/>
          <w:w w:val="90"/>
          <w:sz w:val="44"/>
          <w:szCs w:val="44"/>
        </w:rPr>
      </w:pPr>
      <w:r w:rsidRPr="009D4CF9">
        <w:rPr>
          <w:rFonts w:ascii="方正小标宋简体" w:eastAsia="方正小标宋简体" w:hAnsi="黑体" w:cs="方正小标宋简体" w:hint="eastAsia"/>
          <w:w w:val="90"/>
          <w:sz w:val="44"/>
          <w:szCs w:val="44"/>
        </w:rPr>
        <w:t>我市打响“蓝天保卫战”</w:t>
      </w:r>
    </w:p>
    <w:p w:rsidR="009B5773" w:rsidRPr="00575187" w:rsidRDefault="009B5773" w:rsidP="009D4CF9">
      <w:pPr>
        <w:widowControl/>
        <w:shd w:val="clear" w:color="auto" w:fill="FFFFFF"/>
        <w:spacing w:line="560" w:lineRule="exact"/>
        <w:ind w:firstLine="720"/>
        <w:jc w:val="right"/>
        <w:rPr>
          <w:rFonts w:hAnsi="simsun" w:cs="Times New Roman"/>
          <w:color w:val="000000"/>
          <w:kern w:val="0"/>
        </w:rPr>
      </w:pPr>
    </w:p>
    <w:p w:rsidR="009B5773" w:rsidRPr="00575187" w:rsidRDefault="009B5773" w:rsidP="009D4CF9">
      <w:pPr>
        <w:widowControl/>
        <w:shd w:val="clear" w:color="auto" w:fill="FFFFFF"/>
        <w:spacing w:line="560" w:lineRule="exact"/>
        <w:ind w:firstLine="720"/>
        <w:rPr>
          <w:rFonts w:ascii="simsun" w:hAnsi="simsun" w:cs="simsun"/>
          <w:color w:val="000000"/>
          <w:kern w:val="0"/>
          <w:sz w:val="24"/>
          <w:szCs w:val="24"/>
        </w:rPr>
      </w:pPr>
      <w:r w:rsidRPr="00575187">
        <w:rPr>
          <w:rFonts w:hAnsi="simsun" w:hint="eastAsia"/>
          <w:color w:val="000000"/>
          <w:kern w:val="0"/>
        </w:rPr>
        <w:t>为深入贯彻中央污染防治攻坚战及全国、全省环保大会工作部署，精心呵护“舟山好空气”生态金名片，提升群众</w:t>
      </w:r>
      <w:r w:rsidRPr="00575187">
        <w:rPr>
          <w:rFonts w:hAnsi="simsun"/>
          <w:color w:val="000000"/>
          <w:kern w:val="0"/>
        </w:rPr>
        <w:t xml:space="preserve"> </w:t>
      </w:r>
      <w:r w:rsidRPr="00575187">
        <w:rPr>
          <w:rFonts w:hAnsi="simsun" w:hint="eastAsia"/>
          <w:color w:val="000000"/>
          <w:kern w:val="0"/>
        </w:rPr>
        <w:t>“蓝天白云四季有、繁星闪烁常相伴”幸福感，我市</w:t>
      </w:r>
      <w:r>
        <w:rPr>
          <w:rFonts w:hAnsi="simsun" w:hint="eastAsia"/>
          <w:color w:val="000000"/>
          <w:kern w:val="0"/>
        </w:rPr>
        <w:t>已印发实施</w:t>
      </w:r>
      <w:r w:rsidRPr="00575187">
        <w:rPr>
          <w:rFonts w:hAnsi="simsun" w:hint="eastAsia"/>
          <w:color w:val="000000"/>
          <w:kern w:val="0"/>
        </w:rPr>
        <w:t>《</w:t>
      </w:r>
      <w:r w:rsidRPr="00575187">
        <w:rPr>
          <w:rFonts w:hAnsi="simsun"/>
          <w:color w:val="000000"/>
          <w:kern w:val="0"/>
        </w:rPr>
        <w:t>2018</w:t>
      </w:r>
      <w:r w:rsidRPr="00575187">
        <w:rPr>
          <w:rFonts w:hAnsi="simsun" w:hint="eastAsia"/>
          <w:color w:val="000000"/>
          <w:kern w:val="0"/>
        </w:rPr>
        <w:t>年舟山市蓝天保卫战行动计划》</w:t>
      </w:r>
      <w:r>
        <w:rPr>
          <w:rFonts w:hAnsi="simsun"/>
          <w:color w:val="000000"/>
          <w:kern w:val="0"/>
        </w:rPr>
        <w:t>,</w:t>
      </w:r>
      <w:r>
        <w:rPr>
          <w:rFonts w:hAnsi="simsun" w:hint="eastAsia"/>
          <w:color w:val="000000"/>
          <w:kern w:val="0"/>
        </w:rPr>
        <w:t>及时部署实施相关工作任务</w:t>
      </w:r>
      <w:r w:rsidRPr="00575187">
        <w:rPr>
          <w:rFonts w:hAnsi="simsun" w:hint="eastAsia"/>
          <w:color w:val="000000"/>
          <w:kern w:val="0"/>
        </w:rPr>
        <w:t>。</w:t>
      </w:r>
    </w:p>
    <w:p w:rsidR="009B5773" w:rsidRPr="00575187" w:rsidRDefault="009B5773" w:rsidP="009D4CF9">
      <w:pPr>
        <w:widowControl/>
        <w:shd w:val="clear" w:color="auto" w:fill="FFFFFF"/>
        <w:spacing w:line="560" w:lineRule="exact"/>
        <w:ind w:firstLine="720"/>
        <w:rPr>
          <w:rFonts w:ascii="simsun" w:hAnsi="simsun" w:cs="simsun"/>
          <w:color w:val="000000"/>
          <w:kern w:val="0"/>
          <w:sz w:val="24"/>
          <w:szCs w:val="24"/>
        </w:rPr>
      </w:pPr>
      <w:r w:rsidRPr="00575187">
        <w:rPr>
          <w:rFonts w:hAnsi="simsun" w:hint="eastAsia"/>
          <w:color w:val="000000"/>
          <w:kern w:val="0"/>
        </w:rPr>
        <w:t>一是高点对标。明确</w:t>
      </w:r>
      <w:r w:rsidRPr="00575187">
        <w:rPr>
          <w:rFonts w:hAnsi="simsun"/>
          <w:color w:val="000000"/>
          <w:kern w:val="0"/>
        </w:rPr>
        <w:t>2018</w:t>
      </w:r>
      <w:r w:rsidRPr="00575187">
        <w:rPr>
          <w:rFonts w:hAnsi="simsun" w:hint="eastAsia"/>
          <w:color w:val="000000"/>
          <w:kern w:val="0"/>
        </w:rPr>
        <w:t>年全市细颗粒物（</w:t>
      </w:r>
      <w:r w:rsidRPr="00575187">
        <w:rPr>
          <w:rFonts w:hAnsi="simsun"/>
          <w:color w:val="000000"/>
          <w:kern w:val="0"/>
        </w:rPr>
        <w:t>PM</w:t>
      </w:r>
      <w:r w:rsidRPr="00575187">
        <w:rPr>
          <w:rFonts w:hAnsi="simsun"/>
          <w:color w:val="000000"/>
          <w:kern w:val="0"/>
          <w:vertAlign w:val="subscript"/>
        </w:rPr>
        <w:t>2.5</w:t>
      </w:r>
      <w:r w:rsidRPr="00575187">
        <w:rPr>
          <w:rFonts w:hAnsi="simsun" w:hint="eastAsia"/>
          <w:color w:val="000000"/>
          <w:kern w:val="0"/>
        </w:rPr>
        <w:t>）年均浓度保持在</w:t>
      </w:r>
      <w:r w:rsidRPr="000168D6">
        <w:rPr>
          <w:rFonts w:hAnsi="simsun"/>
          <w:color w:val="auto"/>
          <w:kern w:val="0"/>
        </w:rPr>
        <w:t>25ug/</w:t>
      </w:r>
      <w:r w:rsidRPr="00575187">
        <w:rPr>
          <w:rFonts w:hAnsi="simsun"/>
          <w:color w:val="000000"/>
          <w:kern w:val="0"/>
        </w:rPr>
        <w:t>m</w:t>
      </w:r>
      <w:r w:rsidRPr="00575187">
        <w:rPr>
          <w:rFonts w:hAnsi="simsun"/>
          <w:color w:val="000000"/>
          <w:kern w:val="0"/>
          <w:vertAlign w:val="superscript"/>
        </w:rPr>
        <w:t>3</w:t>
      </w:r>
      <w:r w:rsidRPr="00575187">
        <w:rPr>
          <w:rFonts w:hAnsi="simsun" w:hint="eastAsia"/>
          <w:color w:val="000000"/>
          <w:kern w:val="0"/>
        </w:rPr>
        <w:t>，</w:t>
      </w:r>
      <w:r w:rsidRPr="00575187">
        <w:rPr>
          <w:rFonts w:hAnsi="simsun"/>
          <w:color w:val="000000"/>
          <w:kern w:val="0"/>
        </w:rPr>
        <w:t>AQI</w:t>
      </w:r>
      <w:r w:rsidRPr="00575187">
        <w:rPr>
          <w:rFonts w:hAnsi="simsun" w:hint="eastAsia"/>
          <w:color w:val="000000"/>
          <w:kern w:val="0"/>
        </w:rPr>
        <w:t>优良天数比例达到</w:t>
      </w:r>
      <w:r w:rsidRPr="00575187">
        <w:rPr>
          <w:rFonts w:hAnsi="simsun"/>
          <w:color w:val="000000"/>
          <w:kern w:val="0"/>
        </w:rPr>
        <w:t>92.5%</w:t>
      </w:r>
      <w:r w:rsidRPr="00575187">
        <w:rPr>
          <w:rFonts w:hAnsi="simsun" w:hint="eastAsia"/>
          <w:color w:val="000000"/>
          <w:kern w:val="0"/>
        </w:rPr>
        <w:t>，完成省下达的二氧化硫、氮氧化物和挥发性有机物总量减排任务；基本消除重点区域臭气异味问题，涉气重复信访量比</w:t>
      </w:r>
      <w:r w:rsidRPr="00575187">
        <w:rPr>
          <w:rFonts w:hAnsi="simsun"/>
          <w:color w:val="000000"/>
          <w:kern w:val="0"/>
        </w:rPr>
        <w:t>2017</w:t>
      </w:r>
      <w:r w:rsidRPr="00575187">
        <w:rPr>
          <w:rFonts w:hAnsi="simsun" w:hint="eastAsia"/>
          <w:color w:val="000000"/>
          <w:kern w:val="0"/>
        </w:rPr>
        <w:t>年下降</w:t>
      </w:r>
      <w:r w:rsidRPr="00575187">
        <w:rPr>
          <w:rFonts w:hAnsi="simsun"/>
          <w:color w:val="000000"/>
          <w:kern w:val="0"/>
        </w:rPr>
        <w:t>10%</w:t>
      </w:r>
      <w:r w:rsidRPr="00575187">
        <w:rPr>
          <w:rFonts w:hAnsi="simsun" w:hint="eastAsia"/>
          <w:color w:val="000000"/>
          <w:kern w:val="0"/>
        </w:rPr>
        <w:t>。</w:t>
      </w:r>
    </w:p>
    <w:p w:rsidR="009B5773" w:rsidRPr="00575187" w:rsidRDefault="009B5773" w:rsidP="009D4CF9">
      <w:pPr>
        <w:widowControl/>
        <w:shd w:val="clear" w:color="auto" w:fill="FFFFFF"/>
        <w:spacing w:line="560" w:lineRule="exact"/>
        <w:ind w:firstLine="720"/>
        <w:rPr>
          <w:rFonts w:ascii="simsun" w:hAnsi="simsun" w:cs="simsun"/>
          <w:color w:val="000000"/>
          <w:kern w:val="0"/>
          <w:sz w:val="24"/>
          <w:szCs w:val="24"/>
        </w:rPr>
      </w:pPr>
      <w:r w:rsidRPr="00575187">
        <w:rPr>
          <w:rFonts w:hAnsi="simsun" w:hint="eastAsia"/>
          <w:color w:val="000000"/>
          <w:kern w:val="0"/>
        </w:rPr>
        <w:t>二是高效推进。全面推进产业能源结构调整、工业废气治理、城市扬尘整治、港口船舶污染防治、机动车污染防治、重点区域臭气异味治理、城乡废气污染控制、臭氧研析治理、大气监测监控预警体系建设、大气执法等十大专项行动，并将十大专项行动细化为</w:t>
      </w:r>
      <w:r w:rsidRPr="00575187">
        <w:rPr>
          <w:rFonts w:hAnsi="simsun"/>
          <w:color w:val="000000"/>
          <w:kern w:val="0"/>
        </w:rPr>
        <w:t>48</w:t>
      </w:r>
      <w:r w:rsidRPr="00575187">
        <w:rPr>
          <w:rFonts w:hAnsi="simsun" w:hint="eastAsia"/>
          <w:color w:val="000000"/>
          <w:kern w:val="0"/>
        </w:rPr>
        <w:t>项重点工作，</w:t>
      </w:r>
      <w:r>
        <w:rPr>
          <w:rFonts w:hAnsi="simsun" w:hint="eastAsia"/>
          <w:color w:val="000000"/>
          <w:kern w:val="0"/>
        </w:rPr>
        <w:t>细化明确责任</w:t>
      </w:r>
      <w:r w:rsidRPr="00575187">
        <w:rPr>
          <w:rFonts w:hAnsi="simsun" w:hint="eastAsia"/>
          <w:color w:val="000000"/>
          <w:kern w:val="0"/>
        </w:rPr>
        <w:t>单位和</w:t>
      </w:r>
      <w:r>
        <w:rPr>
          <w:rFonts w:hAnsi="simsun" w:hint="eastAsia"/>
          <w:color w:val="000000"/>
          <w:kern w:val="0"/>
        </w:rPr>
        <w:t>时间节点，力求取得突破性进展</w:t>
      </w:r>
      <w:r w:rsidRPr="00575187">
        <w:rPr>
          <w:rFonts w:hAnsi="simsun" w:hint="eastAsia"/>
          <w:color w:val="000000"/>
          <w:kern w:val="0"/>
        </w:rPr>
        <w:t>。</w:t>
      </w:r>
    </w:p>
    <w:p w:rsidR="009B5773" w:rsidRPr="002322F8" w:rsidRDefault="009B5773" w:rsidP="009D4CF9">
      <w:pPr>
        <w:widowControl/>
        <w:shd w:val="clear" w:color="auto" w:fill="FFFFFF"/>
        <w:spacing w:line="560" w:lineRule="exact"/>
        <w:ind w:firstLine="720"/>
        <w:rPr>
          <w:rFonts w:ascii="simsun" w:hAnsi="simsun" w:cs="simsun"/>
          <w:color w:val="auto"/>
          <w:kern w:val="0"/>
          <w:sz w:val="24"/>
          <w:szCs w:val="24"/>
        </w:rPr>
      </w:pPr>
      <w:r w:rsidRPr="00575187">
        <w:rPr>
          <w:rFonts w:hAnsi="simsun" w:hint="eastAsia"/>
          <w:color w:val="000000"/>
          <w:kern w:val="0"/>
        </w:rPr>
        <w:t>三是精准治气。深入研析影响舟山空气质量的环境、产业、区域因素，全面开展清新空气示范区建设，完成环保地图绘制，摸清污染源底数，实施精准治理方案。结合舟山产业、区域环境特点，推进四大特色、重点领域治气工作</w:t>
      </w:r>
      <w:r w:rsidRPr="000168D6">
        <w:rPr>
          <w:rFonts w:hAnsi="simsun" w:hint="eastAsia"/>
          <w:color w:val="FF0000"/>
          <w:kern w:val="0"/>
        </w:rPr>
        <w:t>：</w:t>
      </w:r>
      <w:r w:rsidRPr="002322F8">
        <w:rPr>
          <w:rFonts w:hAnsi="simsun"/>
          <w:color w:val="auto"/>
          <w:kern w:val="0"/>
        </w:rPr>
        <w:t>1</w:t>
      </w:r>
      <w:r w:rsidRPr="002322F8">
        <w:rPr>
          <w:rFonts w:hAnsi="simsun" w:hint="eastAsia"/>
          <w:color w:val="auto"/>
          <w:kern w:val="0"/>
        </w:rPr>
        <w:t>、推行绿色修造船。</w:t>
      </w:r>
      <w:r w:rsidRPr="002322F8">
        <w:rPr>
          <w:rFonts w:hAnsi="simsun"/>
          <w:color w:val="auto"/>
          <w:kern w:val="0"/>
        </w:rPr>
        <w:t>2018</w:t>
      </w:r>
      <w:r w:rsidRPr="002322F8">
        <w:rPr>
          <w:rFonts w:hAnsi="simsun" w:hint="eastAsia"/>
          <w:color w:val="auto"/>
          <w:kern w:val="0"/>
        </w:rPr>
        <w:t>年</w:t>
      </w:r>
      <w:r w:rsidRPr="002322F8">
        <w:rPr>
          <w:rFonts w:hAnsi="simsun"/>
          <w:color w:val="auto"/>
          <w:kern w:val="0"/>
        </w:rPr>
        <w:t>9</w:t>
      </w:r>
      <w:r w:rsidRPr="002322F8">
        <w:rPr>
          <w:rFonts w:hAnsi="simsun" w:hint="eastAsia"/>
          <w:color w:val="auto"/>
          <w:kern w:val="0"/>
        </w:rPr>
        <w:t>月底前，制定完成绿色修船企业规范，出台修船行业标准。对规上修造船企业全面推行万邦永跃公司封闭式清洁高效喷涂设备，达到《舟山市船舶修理行业污染整治提升技术规范（试行）》标准，实行喷漆作业工艺升级改造，从露天喷漆转变为封闭式喷漆。</w:t>
      </w:r>
      <w:r w:rsidRPr="002322F8">
        <w:rPr>
          <w:rFonts w:hAnsi="simsun"/>
          <w:color w:val="auto"/>
          <w:kern w:val="0"/>
        </w:rPr>
        <w:t>2018</w:t>
      </w:r>
      <w:r w:rsidRPr="002322F8">
        <w:rPr>
          <w:rFonts w:hAnsi="simsun" w:hint="eastAsia"/>
          <w:color w:val="auto"/>
          <w:kern w:val="0"/>
        </w:rPr>
        <w:t>年底前，规上造船企业清洁高效喷涂装备应用覆盖率达</w:t>
      </w:r>
      <w:r w:rsidRPr="002322F8">
        <w:rPr>
          <w:rFonts w:hAnsi="simsun"/>
          <w:color w:val="auto"/>
          <w:kern w:val="0"/>
        </w:rPr>
        <w:t>100%</w:t>
      </w:r>
      <w:r w:rsidRPr="002322F8">
        <w:rPr>
          <w:rFonts w:hAnsi="simsun" w:hint="eastAsia"/>
          <w:color w:val="auto"/>
          <w:kern w:val="0"/>
        </w:rPr>
        <w:t>。</w:t>
      </w:r>
      <w:r w:rsidRPr="002322F8">
        <w:rPr>
          <w:rFonts w:hAnsi="simsun"/>
          <w:color w:val="auto"/>
          <w:kern w:val="0"/>
        </w:rPr>
        <w:t>2</w:t>
      </w:r>
      <w:r w:rsidRPr="002322F8">
        <w:rPr>
          <w:rFonts w:hAnsi="simsun" w:hint="eastAsia"/>
          <w:color w:val="auto"/>
          <w:kern w:val="0"/>
        </w:rPr>
        <w:t>、提升绿色港口建设。进一步推进岸电工程建设。</w:t>
      </w:r>
      <w:r w:rsidRPr="002322F8">
        <w:rPr>
          <w:rFonts w:hAnsi="simsun"/>
          <w:color w:val="auto"/>
          <w:kern w:val="0"/>
        </w:rPr>
        <w:t>2018</w:t>
      </w:r>
      <w:r w:rsidRPr="002322F8">
        <w:rPr>
          <w:rFonts w:hAnsi="simsun" w:hint="eastAsia"/>
          <w:color w:val="auto"/>
          <w:kern w:val="0"/>
        </w:rPr>
        <w:t>年底前，完成舟山电厂</w:t>
      </w:r>
      <w:r w:rsidRPr="002322F8">
        <w:rPr>
          <w:rFonts w:hAnsi="simsun"/>
          <w:color w:val="auto"/>
          <w:kern w:val="0"/>
        </w:rPr>
        <w:t>2</w:t>
      </w:r>
      <w:r w:rsidRPr="002322F8">
        <w:rPr>
          <w:rFonts w:hAnsi="simsun" w:hint="eastAsia"/>
          <w:color w:val="auto"/>
          <w:kern w:val="0"/>
        </w:rPr>
        <w:t>万吨级煤炭码头岸电项目、</w:t>
      </w:r>
      <w:r w:rsidRPr="002322F8">
        <w:rPr>
          <w:rFonts w:hint="eastAsia"/>
          <w:snapToGrid w:val="0"/>
          <w:color w:val="auto"/>
          <w:kern w:val="0"/>
        </w:rPr>
        <w:t>宁波舟山港鼠浪湖矿石中转码头装船泊位岸电项目、鱼山干散货码头</w:t>
      </w:r>
      <w:r w:rsidRPr="002322F8">
        <w:rPr>
          <w:snapToGrid w:val="0"/>
          <w:color w:val="auto"/>
          <w:kern w:val="0"/>
        </w:rPr>
        <w:t>1</w:t>
      </w:r>
      <w:r w:rsidRPr="002322F8">
        <w:rPr>
          <w:rFonts w:hint="eastAsia"/>
          <w:snapToGrid w:val="0"/>
          <w:color w:val="auto"/>
          <w:kern w:val="0"/>
        </w:rPr>
        <w:t>、</w:t>
      </w:r>
      <w:r w:rsidRPr="002322F8">
        <w:rPr>
          <w:snapToGrid w:val="0"/>
          <w:color w:val="auto"/>
          <w:kern w:val="0"/>
        </w:rPr>
        <w:t>2</w:t>
      </w:r>
      <w:r w:rsidRPr="002322F8">
        <w:rPr>
          <w:rFonts w:hint="eastAsia"/>
          <w:snapToGrid w:val="0"/>
          <w:color w:val="auto"/>
          <w:kern w:val="0"/>
        </w:rPr>
        <w:t>、</w:t>
      </w:r>
      <w:r w:rsidRPr="002322F8">
        <w:rPr>
          <w:snapToGrid w:val="0"/>
          <w:color w:val="auto"/>
          <w:kern w:val="0"/>
        </w:rPr>
        <w:t>3</w:t>
      </w:r>
      <w:r w:rsidRPr="002322F8">
        <w:rPr>
          <w:rFonts w:hint="eastAsia"/>
          <w:snapToGrid w:val="0"/>
          <w:color w:val="auto"/>
          <w:kern w:val="0"/>
        </w:rPr>
        <w:t>号泊位岸电项目建设，</w:t>
      </w:r>
      <w:r w:rsidRPr="002322F8">
        <w:rPr>
          <w:snapToGrid w:val="0"/>
          <w:color w:val="auto"/>
          <w:kern w:val="0"/>
        </w:rPr>
        <w:t>50%</w:t>
      </w:r>
      <w:r w:rsidRPr="002322F8">
        <w:rPr>
          <w:rFonts w:hint="eastAsia"/>
          <w:snapToGrid w:val="0"/>
          <w:color w:val="auto"/>
          <w:kern w:val="0"/>
        </w:rPr>
        <w:t>的集装箱泊位、客运泊位具备向船舶供应岸电的能力</w:t>
      </w:r>
      <w:r w:rsidRPr="002322F8">
        <w:rPr>
          <w:rFonts w:hAnsi="simsun" w:hint="eastAsia"/>
          <w:color w:val="auto"/>
          <w:kern w:val="0"/>
        </w:rPr>
        <w:t>。强化船舶排放控制区监管。</w:t>
      </w:r>
      <w:r w:rsidRPr="002322F8">
        <w:rPr>
          <w:rFonts w:hAnsi="simsun"/>
          <w:color w:val="auto"/>
          <w:kern w:val="0"/>
        </w:rPr>
        <w:t>2018</w:t>
      </w:r>
      <w:r w:rsidRPr="002322F8">
        <w:rPr>
          <w:rFonts w:hAnsi="simsun" w:hint="eastAsia"/>
          <w:color w:val="auto"/>
          <w:kern w:val="0"/>
        </w:rPr>
        <w:t>年</w:t>
      </w:r>
      <w:r w:rsidRPr="002322F8">
        <w:rPr>
          <w:rFonts w:hAnsi="simsun"/>
          <w:color w:val="auto"/>
          <w:kern w:val="0"/>
        </w:rPr>
        <w:t>7</w:t>
      </w:r>
      <w:r w:rsidRPr="002322F8">
        <w:rPr>
          <w:rFonts w:hAnsi="simsun" w:hint="eastAsia"/>
          <w:color w:val="auto"/>
          <w:kern w:val="0"/>
        </w:rPr>
        <w:t>月底前新配备船用燃油硫含量快速检测仪</w:t>
      </w:r>
      <w:r w:rsidRPr="002322F8">
        <w:rPr>
          <w:rFonts w:hAnsi="simsun"/>
          <w:color w:val="auto"/>
          <w:kern w:val="0"/>
        </w:rPr>
        <w:t>3</w:t>
      </w:r>
      <w:r w:rsidRPr="002322F8">
        <w:rPr>
          <w:rFonts w:hAnsi="simsun" w:hint="eastAsia"/>
          <w:color w:val="auto"/>
          <w:kern w:val="0"/>
        </w:rPr>
        <w:t>台，全年核查船舶</w:t>
      </w:r>
      <w:r w:rsidRPr="002322F8">
        <w:rPr>
          <w:rFonts w:hAnsi="simsun"/>
          <w:color w:val="auto"/>
          <w:kern w:val="0"/>
        </w:rPr>
        <w:t>1000</w:t>
      </w:r>
      <w:r w:rsidRPr="002322F8">
        <w:rPr>
          <w:rFonts w:hAnsi="simsun" w:hint="eastAsia"/>
          <w:color w:val="auto"/>
          <w:kern w:val="0"/>
        </w:rPr>
        <w:t>艘次以上，覆盖全市各主要港口及锚地。</w:t>
      </w:r>
      <w:r w:rsidRPr="002322F8">
        <w:rPr>
          <w:rFonts w:hAnsi="simsun"/>
          <w:color w:val="auto"/>
          <w:kern w:val="0"/>
        </w:rPr>
        <w:t>2019</w:t>
      </w:r>
      <w:r w:rsidRPr="002322F8">
        <w:rPr>
          <w:rFonts w:hAnsi="simsun" w:hint="eastAsia"/>
          <w:color w:val="auto"/>
          <w:kern w:val="0"/>
        </w:rPr>
        <w:t>年起船舶进入我市行政区域内不管靠泊还是航行期间，均应使用硫含量≤</w:t>
      </w:r>
      <w:r w:rsidRPr="002322F8">
        <w:rPr>
          <w:rFonts w:hAnsi="simsun"/>
          <w:color w:val="auto"/>
          <w:kern w:val="0"/>
        </w:rPr>
        <w:t>0.5% m/m</w:t>
      </w:r>
      <w:r w:rsidRPr="002322F8">
        <w:rPr>
          <w:rFonts w:hAnsi="simsun" w:hint="eastAsia"/>
          <w:color w:val="auto"/>
          <w:kern w:val="0"/>
        </w:rPr>
        <w:t>的燃油或者采取岸电、使用清洁能源、尾气后处理等替代措施。</w:t>
      </w:r>
      <w:r w:rsidRPr="002322F8">
        <w:rPr>
          <w:rFonts w:hAnsi="simsun"/>
          <w:color w:val="auto"/>
          <w:kern w:val="0"/>
        </w:rPr>
        <w:t>3</w:t>
      </w:r>
      <w:r w:rsidRPr="002322F8">
        <w:rPr>
          <w:rFonts w:hAnsi="simsun" w:hint="eastAsia"/>
          <w:color w:val="auto"/>
          <w:kern w:val="0"/>
        </w:rPr>
        <w:t>、强化区域臭气异味治理。重点深化勾山污水处理厂、新城泵站及垃圾中转站除臭治理，确保臭气不外溢。实施新花河治理。消除车辆抛洒滴漏。</w:t>
      </w:r>
      <w:r w:rsidRPr="002322F8">
        <w:rPr>
          <w:rFonts w:hint="eastAsia"/>
          <w:color w:val="auto"/>
        </w:rPr>
        <w:t>强化日常监管。加大双阳中心渔港巡查力度，严禁鱼虾蟹等水产品装运作业。开展原勾山工业园区水产企业拉网式排查，对未截污纳管、偷排漏排的情况，加大处置力度，坚决予以整改。</w:t>
      </w:r>
      <w:r w:rsidRPr="002322F8">
        <w:rPr>
          <w:rFonts w:hAnsi="simsun"/>
          <w:color w:val="auto"/>
          <w:kern w:val="0"/>
        </w:rPr>
        <w:t>4</w:t>
      </w:r>
      <w:r w:rsidRPr="002322F8">
        <w:rPr>
          <w:rFonts w:hAnsi="simsun" w:hint="eastAsia"/>
          <w:color w:val="auto"/>
          <w:kern w:val="0"/>
        </w:rPr>
        <w:t>、强化大气监测监控预警体系建设和执法监管。按计划完成环保地图绘制。完善全市现有</w:t>
      </w:r>
      <w:r w:rsidRPr="002322F8">
        <w:rPr>
          <w:rFonts w:hAnsi="simsun"/>
          <w:color w:val="auto"/>
          <w:kern w:val="0"/>
        </w:rPr>
        <w:t>6</w:t>
      </w:r>
      <w:r w:rsidRPr="002322F8">
        <w:rPr>
          <w:rFonts w:hAnsi="simsun" w:hint="eastAsia"/>
          <w:color w:val="auto"/>
          <w:kern w:val="0"/>
        </w:rPr>
        <w:t>个空气自动站的基础上，初步计划新建</w:t>
      </w:r>
      <w:r w:rsidRPr="002322F8">
        <w:rPr>
          <w:rFonts w:hAnsi="simsun"/>
          <w:color w:val="auto"/>
          <w:kern w:val="0"/>
        </w:rPr>
        <w:t>103</w:t>
      </w:r>
      <w:r w:rsidRPr="002322F8">
        <w:rPr>
          <w:rFonts w:hAnsi="simsun" w:hint="eastAsia"/>
          <w:color w:val="auto"/>
          <w:kern w:val="0"/>
        </w:rPr>
        <w:t>个自动站，覆盖全市各乡镇、各主要岛屿、重点区域、重点企业及重要港口。计划</w:t>
      </w:r>
      <w:r w:rsidRPr="002322F8">
        <w:rPr>
          <w:rFonts w:hAnsi="simsun" w:hint="eastAsia"/>
          <w:smallCaps/>
          <w:color w:val="auto"/>
          <w:kern w:val="0"/>
        </w:rPr>
        <w:t>新建清新空气</w:t>
      </w:r>
      <w:r w:rsidRPr="002322F8">
        <w:rPr>
          <w:rFonts w:hAnsi="simsun"/>
          <w:smallCaps/>
          <w:color w:val="auto"/>
          <w:kern w:val="0"/>
        </w:rPr>
        <w:t>13</w:t>
      </w:r>
      <w:r w:rsidRPr="002322F8">
        <w:rPr>
          <w:rFonts w:hAnsi="simsun" w:hint="eastAsia"/>
          <w:smallCaps/>
          <w:color w:val="auto"/>
          <w:kern w:val="0"/>
        </w:rPr>
        <w:t>个自动站站位建设。</w:t>
      </w:r>
      <w:r w:rsidRPr="002322F8">
        <w:rPr>
          <w:rFonts w:hAnsi="simsun" w:hint="eastAsia"/>
          <w:color w:val="auto"/>
          <w:kern w:val="0"/>
        </w:rPr>
        <w:t>加强大气执法能力建设，配备必要的大气执法专用车辆和便携式监测设备。针对区域性臭气异味、机动车冒黑烟、船舶修造露天喷漆等源多面广的污染整治，环保、住建、公安、城管、海事、国土等部门开展季度联动执法，对涉气违法性质恶劣、涉嫌环境污染犯罪的案件实行环保公检法联动，保持高压执法态势，形成有力震慑效应。</w:t>
      </w:r>
    </w:p>
    <w:p w:rsidR="009B5773" w:rsidRDefault="009B5773" w:rsidP="009D4CF9">
      <w:pPr>
        <w:spacing w:line="560" w:lineRule="exact"/>
        <w:rPr>
          <w:rFonts w:cs="Times New Roman"/>
        </w:rPr>
      </w:pPr>
    </w:p>
    <w:p w:rsidR="009B5773" w:rsidRDefault="009B5773" w:rsidP="009D4CF9">
      <w:pPr>
        <w:spacing w:line="560" w:lineRule="exact"/>
        <w:rPr>
          <w:rFonts w:cs="Times New Roman"/>
        </w:rPr>
      </w:pPr>
    </w:p>
    <w:p w:rsidR="009B5773" w:rsidRPr="009D4CF9" w:rsidRDefault="009B5773" w:rsidP="009D4CF9">
      <w:pPr>
        <w:jc w:val="center"/>
        <w:rPr>
          <w:rFonts w:ascii="方正小标宋简体" w:eastAsia="方正小标宋简体" w:hAnsi="黑体" w:cs="Times New Roman"/>
          <w:b/>
          <w:bCs/>
          <w:w w:val="90"/>
          <w:sz w:val="44"/>
          <w:szCs w:val="44"/>
        </w:rPr>
      </w:pPr>
      <w:r w:rsidRPr="009D4CF9">
        <w:rPr>
          <w:rFonts w:ascii="方正小标宋简体" w:eastAsia="方正小标宋简体" w:hAnsi="黑体" w:cs="方正小标宋简体" w:hint="eastAsia"/>
          <w:w w:val="90"/>
          <w:sz w:val="44"/>
          <w:szCs w:val="44"/>
        </w:rPr>
        <w:t>连续十余年，</w:t>
      </w:r>
      <w:r>
        <w:rPr>
          <w:rFonts w:ascii="方正小标宋简体" w:eastAsia="方正小标宋简体" w:hAnsi="黑体" w:cs="方正小标宋简体" w:hint="eastAsia"/>
          <w:w w:val="90"/>
          <w:sz w:val="44"/>
          <w:szCs w:val="44"/>
        </w:rPr>
        <w:t>岱山县</w:t>
      </w:r>
      <w:r w:rsidRPr="009D4CF9">
        <w:rPr>
          <w:rFonts w:ascii="方正小标宋简体" w:eastAsia="方正小标宋简体" w:hAnsi="黑体" w:cs="方正小标宋简体" w:hint="eastAsia"/>
          <w:w w:val="90"/>
          <w:sz w:val="44"/>
          <w:szCs w:val="44"/>
        </w:rPr>
        <w:t>增殖放流上亿尾鱼苗游向大海</w:t>
      </w:r>
    </w:p>
    <w:p w:rsidR="009B5773" w:rsidRPr="009D4CF9" w:rsidRDefault="009B5773" w:rsidP="009D4CF9">
      <w:pPr>
        <w:jc w:val="center"/>
        <w:rPr>
          <w:rFonts w:ascii="方正小标宋简体" w:eastAsia="方正小标宋简体" w:hAnsi="黑体" w:cs="Times New Roman"/>
          <w:w w:val="90"/>
          <w:sz w:val="44"/>
          <w:szCs w:val="44"/>
        </w:rPr>
      </w:pPr>
      <w:r w:rsidRPr="009D4CF9">
        <w:rPr>
          <w:rFonts w:ascii="方正小标宋简体" w:eastAsia="方正小标宋简体" w:hAnsi="黑体" w:cs="方正小标宋简体" w:hint="eastAsia"/>
          <w:w w:val="90"/>
          <w:sz w:val="44"/>
          <w:szCs w:val="44"/>
        </w:rPr>
        <w:t>为“海上粮仓”屯田储粮</w:t>
      </w:r>
    </w:p>
    <w:p w:rsidR="009B5773" w:rsidRPr="009D4CF9" w:rsidRDefault="009B5773" w:rsidP="0093741B">
      <w:pPr>
        <w:ind w:firstLineChars="200" w:firstLine="31680"/>
        <w:rPr>
          <w:rFonts w:hAnsi="simsun"/>
          <w:color w:val="000000"/>
          <w:kern w:val="0"/>
        </w:rPr>
      </w:pPr>
      <w:r w:rsidRPr="009D4CF9">
        <w:rPr>
          <w:rFonts w:hAnsi="simsun"/>
          <w:color w:val="000000"/>
          <w:kern w:val="0"/>
        </w:rPr>
        <w:t xml:space="preserve"> </w:t>
      </w:r>
    </w:p>
    <w:p w:rsidR="009B5773" w:rsidRDefault="009B5773" w:rsidP="0093741B">
      <w:pPr>
        <w:spacing w:line="560" w:lineRule="exact"/>
        <w:ind w:firstLineChars="200" w:firstLine="31680"/>
        <w:rPr>
          <w:rFonts w:hAnsi="simsun" w:cs="Times New Roman"/>
          <w:color w:val="000000"/>
          <w:kern w:val="0"/>
        </w:rPr>
      </w:pPr>
      <w:r>
        <w:rPr>
          <w:rFonts w:hAnsi="simsun" w:hint="eastAsia"/>
          <w:color w:val="000000"/>
          <w:kern w:val="0"/>
        </w:rPr>
        <w:t>“增殖放流修护生态”。岱山坚持了十余年的增殖放流活动，对促进全</w:t>
      </w:r>
      <w:r w:rsidRPr="009D4CF9">
        <w:rPr>
          <w:rFonts w:hAnsi="simsun" w:hint="eastAsia"/>
          <w:color w:val="000000"/>
          <w:kern w:val="0"/>
        </w:rPr>
        <w:t>县</w:t>
      </w:r>
      <w:r>
        <w:rPr>
          <w:rFonts w:hAnsi="simsun" w:hint="eastAsia"/>
          <w:color w:val="000000"/>
          <w:kern w:val="0"/>
        </w:rPr>
        <w:t>海洋生物种类恢复，推动浙江渔场修复振兴起到重要的促进作用。今年全</w:t>
      </w:r>
      <w:r w:rsidRPr="009D4CF9">
        <w:rPr>
          <w:rFonts w:hAnsi="simsun" w:hint="eastAsia"/>
          <w:color w:val="000000"/>
          <w:kern w:val="0"/>
        </w:rPr>
        <w:t>县已完成</w:t>
      </w:r>
      <w:r w:rsidRPr="009D4CF9">
        <w:rPr>
          <w:rFonts w:hAnsi="simsun"/>
          <w:color w:val="000000"/>
          <w:kern w:val="0"/>
        </w:rPr>
        <w:t>5553</w:t>
      </w:r>
      <w:r w:rsidRPr="009D4CF9">
        <w:rPr>
          <w:rFonts w:hAnsi="simsun" w:hint="eastAsia"/>
          <w:color w:val="000000"/>
          <w:kern w:val="0"/>
        </w:rPr>
        <w:t>余万尾的放流任务，累计投入资金</w:t>
      </w:r>
      <w:r w:rsidRPr="009D4CF9">
        <w:rPr>
          <w:rFonts w:hAnsi="simsun"/>
          <w:color w:val="000000"/>
          <w:kern w:val="0"/>
        </w:rPr>
        <w:t>210</w:t>
      </w:r>
      <w:r w:rsidRPr="009D4CF9">
        <w:rPr>
          <w:rFonts w:hAnsi="simsun" w:hint="eastAsia"/>
          <w:color w:val="000000"/>
          <w:kern w:val="0"/>
        </w:rPr>
        <w:t>万元。</w:t>
      </w:r>
    </w:p>
    <w:p w:rsidR="009B5773" w:rsidRDefault="009B5773" w:rsidP="0093741B">
      <w:pPr>
        <w:spacing w:line="560" w:lineRule="exact"/>
        <w:ind w:firstLineChars="200" w:firstLine="31680"/>
        <w:rPr>
          <w:rFonts w:hAnsi="simsun" w:cs="Times New Roman"/>
          <w:color w:val="000000"/>
          <w:kern w:val="0"/>
        </w:rPr>
      </w:pPr>
      <w:r w:rsidRPr="009D4CF9">
        <w:rPr>
          <w:rFonts w:hAnsi="simsun" w:hint="eastAsia"/>
          <w:color w:val="000000"/>
          <w:kern w:val="0"/>
        </w:rPr>
        <w:t>随着增殖放流活动的结束，接下来，相关部门将加强对放流区域的管理，严厉打击违规捕捞行为，保证鱼苗成活率。同时，开展形式多样的宣</w:t>
      </w:r>
      <w:r>
        <w:rPr>
          <w:rFonts w:hAnsi="simsun" w:hint="eastAsia"/>
          <w:color w:val="000000"/>
          <w:kern w:val="0"/>
        </w:rPr>
        <w:t>传教育活动，进一步提高社会各界对渔业资源可持续利用的认识，促进全</w:t>
      </w:r>
      <w:r w:rsidRPr="009D4CF9">
        <w:rPr>
          <w:rFonts w:hAnsi="simsun" w:hint="eastAsia"/>
          <w:color w:val="000000"/>
          <w:kern w:val="0"/>
        </w:rPr>
        <w:t>县渔业经济可持续发展。</w:t>
      </w:r>
    </w:p>
    <w:p w:rsidR="009B5773" w:rsidRDefault="009B5773" w:rsidP="0093741B">
      <w:pPr>
        <w:spacing w:line="560" w:lineRule="exact"/>
        <w:ind w:firstLineChars="200" w:firstLine="31680"/>
        <w:rPr>
          <w:rFonts w:ascii="楷体_GB2312" w:eastAsia="楷体_GB2312" w:hAnsi="simsun" w:cs="Times New Roman"/>
          <w:b/>
          <w:bCs/>
          <w:color w:val="000000"/>
          <w:kern w:val="0"/>
        </w:rPr>
      </w:pPr>
      <w:r w:rsidRPr="009D4CF9">
        <w:rPr>
          <w:rFonts w:ascii="楷体_GB2312" w:eastAsia="楷体_GB2312" w:hAnsi="simsun" w:cs="楷体_GB2312" w:hint="eastAsia"/>
          <w:b/>
          <w:bCs/>
          <w:color w:val="000000"/>
          <w:kern w:val="0"/>
        </w:rPr>
        <w:t>一、千万尾鱼苗跃入海洋</w:t>
      </w:r>
    </w:p>
    <w:p w:rsidR="009B5773" w:rsidRDefault="009B5773" w:rsidP="0093741B">
      <w:pPr>
        <w:spacing w:line="560" w:lineRule="exact"/>
        <w:ind w:firstLineChars="200" w:firstLine="31680"/>
        <w:rPr>
          <w:rFonts w:hAnsi="simsun" w:cs="Times New Roman"/>
          <w:color w:val="000000"/>
          <w:kern w:val="0"/>
        </w:rPr>
      </w:pPr>
      <w:r w:rsidRPr="009D4CF9">
        <w:rPr>
          <w:rFonts w:hAnsi="simsun" w:hint="eastAsia"/>
          <w:color w:val="000000"/>
          <w:kern w:val="0"/>
        </w:rPr>
        <w:t>增殖放流是用人工方法直接向江河、湖泊、水库等天然水域投放或移入渔业生物的卵子、幼体或成体，以恢复或增加种群的数量，改善和优化水域的群落结构。经过持续十多年的增殖放流活动。每年，</w:t>
      </w:r>
      <w:r>
        <w:rPr>
          <w:rFonts w:hAnsi="simsun" w:hint="eastAsia"/>
          <w:color w:val="000000"/>
          <w:kern w:val="0"/>
        </w:rPr>
        <w:t>岱山</w:t>
      </w:r>
      <w:r w:rsidRPr="009D4CF9">
        <w:rPr>
          <w:rFonts w:hAnsi="simsun" w:hint="eastAsia"/>
          <w:color w:val="000000"/>
          <w:kern w:val="0"/>
        </w:rPr>
        <w:t>县都会合理开展增殖放流活动，今年也不例外。</w:t>
      </w:r>
      <w:r w:rsidRPr="009D4CF9">
        <w:rPr>
          <w:rFonts w:hAnsi="simsun"/>
          <w:color w:val="000000"/>
          <w:kern w:val="0"/>
        </w:rPr>
        <w:t>5</w:t>
      </w:r>
      <w:r w:rsidRPr="009D4CF9">
        <w:rPr>
          <w:rFonts w:hAnsi="simsun" w:hint="eastAsia"/>
          <w:color w:val="000000"/>
          <w:kern w:val="0"/>
        </w:rPr>
        <w:t>月底至</w:t>
      </w:r>
      <w:r w:rsidRPr="009D4CF9">
        <w:rPr>
          <w:rFonts w:hAnsi="simsun"/>
          <w:color w:val="000000"/>
          <w:kern w:val="0"/>
        </w:rPr>
        <w:t>7</w:t>
      </w:r>
      <w:r w:rsidRPr="009D4CF9">
        <w:rPr>
          <w:rFonts w:hAnsi="simsun" w:hint="eastAsia"/>
          <w:color w:val="000000"/>
          <w:kern w:val="0"/>
        </w:rPr>
        <w:t>月初，县海洋与渔业局在岱衢洋栲门海域和岱衢洋保护区海域，组织开展</w:t>
      </w:r>
      <w:r w:rsidRPr="009D4CF9">
        <w:rPr>
          <w:rFonts w:hAnsi="simsun"/>
          <w:color w:val="000000"/>
          <w:kern w:val="0"/>
        </w:rPr>
        <w:t>2018</w:t>
      </w:r>
      <w:r w:rsidRPr="009D4CF9">
        <w:rPr>
          <w:rFonts w:hAnsi="simsun" w:hint="eastAsia"/>
          <w:color w:val="000000"/>
          <w:kern w:val="0"/>
        </w:rPr>
        <w:t>年度增殖放流活动。县海洋与渔业局工作人员通过活水船运输将鱼苗分别放入岱衢洋栲门海域和岱衢洋产卵场保护区。今年增殖放流活动，以投放日本对虾、大黄鱼等经济鱼虾类为主，共放流鱼苗</w:t>
      </w:r>
      <w:r w:rsidRPr="009D4CF9">
        <w:rPr>
          <w:rFonts w:hAnsi="simsun"/>
          <w:color w:val="000000"/>
          <w:kern w:val="0"/>
        </w:rPr>
        <w:t>5553.36</w:t>
      </w:r>
      <w:r w:rsidRPr="009D4CF9">
        <w:rPr>
          <w:rFonts w:hAnsi="simsun" w:hint="eastAsia"/>
          <w:color w:val="000000"/>
          <w:kern w:val="0"/>
        </w:rPr>
        <w:t>万尾，累计投入资金</w:t>
      </w:r>
      <w:r w:rsidRPr="009D4CF9">
        <w:rPr>
          <w:rFonts w:hAnsi="simsun"/>
          <w:color w:val="000000"/>
          <w:kern w:val="0"/>
        </w:rPr>
        <w:t>210</w:t>
      </w:r>
      <w:r w:rsidRPr="009D4CF9">
        <w:rPr>
          <w:rFonts w:hAnsi="simsun" w:hint="eastAsia"/>
          <w:color w:val="000000"/>
          <w:kern w:val="0"/>
        </w:rPr>
        <w:t>万元。</w:t>
      </w:r>
    </w:p>
    <w:p w:rsidR="009B5773" w:rsidRDefault="009B5773" w:rsidP="0093741B">
      <w:pPr>
        <w:spacing w:line="560" w:lineRule="exact"/>
        <w:ind w:firstLineChars="200" w:firstLine="31680"/>
        <w:rPr>
          <w:rFonts w:hAnsi="simsun" w:cs="Times New Roman"/>
          <w:color w:val="000000"/>
          <w:kern w:val="0"/>
        </w:rPr>
      </w:pPr>
      <w:r w:rsidRPr="009D4CF9">
        <w:rPr>
          <w:rFonts w:ascii="楷体_GB2312" w:eastAsia="楷体_GB2312" w:hAnsi="simsun" w:cs="楷体_GB2312" w:hint="eastAsia"/>
          <w:b/>
          <w:bCs/>
          <w:color w:val="000000"/>
          <w:kern w:val="0"/>
        </w:rPr>
        <w:t>二、投放数量品种得优化</w:t>
      </w:r>
    </w:p>
    <w:p w:rsidR="009B5773" w:rsidRPr="009D4CF9" w:rsidRDefault="009B5773" w:rsidP="0093741B">
      <w:pPr>
        <w:spacing w:line="560" w:lineRule="exact"/>
        <w:ind w:firstLineChars="200" w:firstLine="31680"/>
        <w:rPr>
          <w:rFonts w:hAnsi="simsun" w:cs="Times New Roman"/>
          <w:color w:val="000000"/>
          <w:kern w:val="0"/>
        </w:rPr>
      </w:pPr>
      <w:r w:rsidRPr="009D4CF9">
        <w:rPr>
          <w:rFonts w:hAnsi="simsun" w:cs="Times New Roman"/>
          <w:color w:val="000000"/>
          <w:kern w:val="0"/>
        </w:rPr>
        <w:t> </w:t>
      </w:r>
      <w:r>
        <w:rPr>
          <w:rFonts w:hAnsi="simsun" w:hint="eastAsia"/>
          <w:color w:val="000000"/>
          <w:kern w:val="0"/>
        </w:rPr>
        <w:t>岱山</w:t>
      </w:r>
      <w:r w:rsidRPr="009D4CF9">
        <w:rPr>
          <w:rFonts w:hAnsi="simsun" w:hint="eastAsia"/>
          <w:color w:val="000000"/>
          <w:kern w:val="0"/>
        </w:rPr>
        <w:t>县增殖放流活动已实施多年，以省级专项资金拨付为主。据统计，</w:t>
      </w:r>
      <w:r>
        <w:rPr>
          <w:rFonts w:hAnsi="simsun" w:hint="eastAsia"/>
          <w:color w:val="000000"/>
          <w:kern w:val="0"/>
        </w:rPr>
        <w:t>全</w:t>
      </w:r>
      <w:r w:rsidRPr="009D4CF9">
        <w:rPr>
          <w:rFonts w:hAnsi="simsun" w:hint="eastAsia"/>
          <w:color w:val="000000"/>
          <w:kern w:val="0"/>
        </w:rPr>
        <w:t>县累计投放鱼苗超过</w:t>
      </w:r>
      <w:r w:rsidRPr="009D4CF9">
        <w:rPr>
          <w:rFonts w:hAnsi="simsun"/>
          <w:color w:val="000000"/>
          <w:kern w:val="0"/>
        </w:rPr>
        <w:t>1</w:t>
      </w:r>
      <w:r w:rsidRPr="009D4CF9">
        <w:rPr>
          <w:rFonts w:hAnsi="simsun" w:hint="eastAsia"/>
          <w:color w:val="000000"/>
          <w:kern w:val="0"/>
        </w:rPr>
        <w:t>亿尾。而在增殖放流工作推进中，投放的鱼苗数量和品种也发生了一些</w:t>
      </w:r>
      <w:r>
        <w:rPr>
          <w:rFonts w:hAnsi="simsun" w:hint="eastAsia"/>
          <w:color w:val="000000"/>
          <w:kern w:val="0"/>
        </w:rPr>
        <w:t>变化。“数量整体呈上升趋势，品种也进行了优化，这样的调整是根据全县渔业实际情况而做出的改变。</w:t>
      </w:r>
      <w:r w:rsidRPr="009D4CF9">
        <w:rPr>
          <w:rFonts w:hAnsi="simsun" w:hint="eastAsia"/>
          <w:color w:val="000000"/>
          <w:kern w:val="0"/>
        </w:rPr>
        <w:t>平时会根据渔民的反馈和作业海域环境的改变，进行数量和品种的增减。现在每年投放主要以大黄鱼、黑鲷、黄姑鱼、三疣梭子蟹、半滑舌鳎、日本对虾等促进海洋生物种类恢复，带动渔民增收的</w:t>
      </w:r>
      <w:r w:rsidRPr="009D4CF9">
        <w:rPr>
          <w:rFonts w:hAnsi="simsun"/>
          <w:color w:val="000000"/>
          <w:kern w:val="0"/>
        </w:rPr>
        <w:t>6</w:t>
      </w:r>
      <w:r w:rsidRPr="009D4CF9">
        <w:rPr>
          <w:rFonts w:hAnsi="simsun" w:hint="eastAsia"/>
          <w:color w:val="000000"/>
          <w:kern w:val="0"/>
        </w:rPr>
        <w:t>个品种为主。</w:t>
      </w:r>
    </w:p>
    <w:p w:rsidR="009B5773" w:rsidRDefault="009B5773" w:rsidP="0093741B">
      <w:pPr>
        <w:spacing w:line="560" w:lineRule="exact"/>
        <w:ind w:firstLineChars="196" w:firstLine="31680"/>
        <w:rPr>
          <w:rFonts w:ascii="楷体_GB2312" w:eastAsia="楷体_GB2312" w:hAnsi="simsun" w:cs="Times New Roman"/>
          <w:b/>
          <w:bCs/>
          <w:color w:val="000000"/>
          <w:kern w:val="0"/>
        </w:rPr>
      </w:pPr>
      <w:r w:rsidRPr="009D4CF9">
        <w:rPr>
          <w:rFonts w:ascii="楷体_GB2312" w:eastAsia="楷体_GB2312" w:hAnsi="simsun" w:cs="楷体_GB2312" w:hint="eastAsia"/>
          <w:b/>
          <w:bCs/>
          <w:color w:val="000000"/>
          <w:kern w:val="0"/>
        </w:rPr>
        <w:t>三、严厉打击违规捕捞者</w:t>
      </w:r>
    </w:p>
    <w:p w:rsidR="009B5773" w:rsidRPr="009D4CF9" w:rsidRDefault="009B5773" w:rsidP="0093741B">
      <w:pPr>
        <w:spacing w:line="560" w:lineRule="exact"/>
        <w:ind w:firstLineChars="196" w:firstLine="31680"/>
        <w:rPr>
          <w:rFonts w:hAnsi="simsun" w:cs="Times New Roman"/>
          <w:color w:val="000000"/>
          <w:kern w:val="0"/>
        </w:rPr>
      </w:pPr>
      <w:r w:rsidRPr="009D4CF9">
        <w:rPr>
          <w:rFonts w:hAnsi="simsun" w:hint="eastAsia"/>
          <w:color w:val="000000"/>
          <w:kern w:val="0"/>
        </w:rPr>
        <w:t>增殖放流的持续进行，使得渔场鱼虾明显增多，渔民增收。但是，近年来尽管岱山不断扩大宣传面，仍有个别渔民铤而走险，从事违规捕捞工作。此次增殖放流活动结束后，县海洋与渔业局将加大巡查力度。</w:t>
      </w:r>
      <w:r w:rsidRPr="009D4CF9">
        <w:rPr>
          <w:rFonts w:hAnsi="simsun"/>
          <w:color w:val="000000"/>
          <w:kern w:val="0"/>
        </w:rPr>
        <w:t>7</w:t>
      </w:r>
      <w:r w:rsidRPr="009D4CF9">
        <w:rPr>
          <w:rFonts w:hAnsi="simsun" w:hint="eastAsia"/>
          <w:color w:val="000000"/>
          <w:kern w:val="0"/>
        </w:rPr>
        <w:t>月初，省海洋技术与信息中心首次借助无人机，</w:t>
      </w:r>
      <w:r>
        <w:rPr>
          <w:rFonts w:hAnsi="simsun" w:hint="eastAsia"/>
          <w:color w:val="000000"/>
          <w:kern w:val="0"/>
        </w:rPr>
        <w:t>在</w:t>
      </w:r>
      <w:r w:rsidRPr="009D4CF9">
        <w:rPr>
          <w:rFonts w:hAnsi="simsun" w:hint="eastAsia"/>
          <w:color w:val="000000"/>
          <w:kern w:val="0"/>
        </w:rPr>
        <w:t>拷门海塘航拍渔业船只进行执法巡查。无人机的投入使用，对严厉打击违法捕捞行为，维护海上伏季休渔秩序具有重要意义。</w:t>
      </w: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Pr="005108F9" w:rsidRDefault="009B5773" w:rsidP="007B2661">
      <w:pPr>
        <w:pStyle w:val="NormalWeb"/>
        <w:shd w:val="clear" w:color="auto" w:fill="FFFFFF"/>
        <w:spacing w:before="0" w:beforeAutospacing="0" w:after="0" w:afterAutospacing="0" w:line="580" w:lineRule="exact"/>
        <w:jc w:val="both"/>
        <w:rPr>
          <w:rFonts w:ascii="仿宋_GB2312" w:eastAsia="仿宋_GB2312" w:hAnsi="微软雅黑" w:cs="Times New Roman"/>
          <w:color w:val="333333"/>
          <w:spacing w:val="8"/>
          <w:sz w:val="32"/>
          <w:szCs w:val="32"/>
        </w:rPr>
      </w:pPr>
    </w:p>
    <w:p w:rsidR="009B5773" w:rsidRDefault="009B5773" w:rsidP="00E30B37">
      <w:pPr>
        <w:spacing w:line="540" w:lineRule="exact"/>
        <w:rPr>
          <w:rFonts w:cs="Times New Roman"/>
        </w:rPr>
      </w:pPr>
    </w:p>
    <w:p w:rsidR="009B5773" w:rsidRDefault="009B5773" w:rsidP="007B2661">
      <w:pPr>
        <w:widowControl/>
        <w:spacing w:line="340" w:lineRule="exact"/>
        <w:ind w:right="-57"/>
        <w:jc w:val="left"/>
        <w:rPr>
          <w:rFonts w:eastAsia="楷体_GB2312" w:hAnsi="宋体" w:cs="Times New Roman"/>
          <w:kern w:val="0"/>
          <w:sz w:val="28"/>
          <w:szCs w:val="28"/>
        </w:rPr>
      </w:pPr>
      <w:r>
        <w:rPr>
          <w:noProof/>
        </w:rPr>
        <w:pict>
          <v:line id="_x0000_s1026" style="position:absolute;z-index:251658240" from="-9pt,10pt" to="430.35pt,10pt" strokeweight="1.5pt">
            <w10:wrap anchorx="page"/>
          </v:line>
        </w:pict>
      </w:r>
    </w:p>
    <w:p w:rsidR="009B5773" w:rsidRDefault="009B5773" w:rsidP="007B2661">
      <w:pPr>
        <w:widowControl/>
        <w:spacing w:line="400" w:lineRule="exact"/>
        <w:ind w:right="-57"/>
        <w:jc w:val="left"/>
        <w:rPr>
          <w:rFonts w:eastAsia="楷体_GB2312" w:hAnsi="宋体" w:cs="Times New Roman"/>
          <w:kern w:val="0"/>
          <w:sz w:val="28"/>
          <w:szCs w:val="28"/>
        </w:rPr>
      </w:pPr>
      <w:r>
        <w:rPr>
          <w:rFonts w:eastAsia="楷体_GB2312" w:hAnsi="宋体" w:cs="楷体_GB2312" w:hint="eastAsia"/>
          <w:kern w:val="0"/>
          <w:sz w:val="28"/>
          <w:szCs w:val="28"/>
        </w:rPr>
        <w:t>送：省美丽办，市委、市人大常委会、市政府、市政协有关领导。</w:t>
      </w:r>
    </w:p>
    <w:p w:rsidR="009B5773" w:rsidRDefault="009B5773" w:rsidP="007B2661">
      <w:pPr>
        <w:widowControl/>
        <w:spacing w:line="400" w:lineRule="exact"/>
        <w:jc w:val="left"/>
        <w:rPr>
          <w:rFonts w:eastAsia="楷体_GB2312" w:hAnsi="宋体" w:cs="Times New Roman"/>
          <w:kern w:val="0"/>
          <w:sz w:val="28"/>
          <w:szCs w:val="28"/>
        </w:rPr>
      </w:pPr>
      <w:r>
        <w:rPr>
          <w:rFonts w:eastAsia="楷体_GB2312" w:hAnsi="宋体" w:cs="楷体_GB2312" w:hint="eastAsia"/>
          <w:kern w:val="0"/>
          <w:sz w:val="28"/>
          <w:szCs w:val="28"/>
        </w:rPr>
        <w:t>发：美丽舟山建设领导小组成员单位，各县（区）美丽办。</w:t>
      </w:r>
    </w:p>
    <w:p w:rsidR="009B5773" w:rsidRPr="00E52CB0" w:rsidRDefault="009B5773" w:rsidP="002352C6">
      <w:pPr>
        <w:spacing w:beforeLines="50"/>
        <w:rPr>
          <w:rFonts w:ascii="宋体" w:eastAsia="宋体" w:hAnsi="宋体" w:cs="宋体"/>
          <w:b/>
          <w:bCs/>
          <w:sz w:val="24"/>
          <w:szCs w:val="24"/>
        </w:rPr>
      </w:pPr>
      <w:r>
        <w:rPr>
          <w:noProof/>
        </w:rPr>
        <w:pict>
          <v:line id="_x0000_s1027" style="position:absolute;left:0;text-align:left;z-index:251659264" from="-8pt,4.05pt" to="431.35pt,4.05pt" strokeweight="1.5pt">
            <w10:wrap anchorx="page"/>
          </v:line>
        </w:pict>
      </w:r>
      <w:r w:rsidRPr="00E52CB0">
        <w:rPr>
          <w:rFonts w:ascii="宋体" w:eastAsia="宋体" w:hAnsi="宋体" w:cs="宋体" w:hint="eastAsia"/>
          <w:b/>
          <w:bCs/>
          <w:sz w:val="24"/>
          <w:szCs w:val="24"/>
        </w:rPr>
        <w:t>联系电话</w:t>
      </w:r>
      <w:r w:rsidRPr="00E52CB0">
        <w:rPr>
          <w:rFonts w:ascii="宋体" w:eastAsia="宋体" w:hAnsi="宋体" w:cs="宋体"/>
          <w:b/>
          <w:bCs/>
          <w:sz w:val="24"/>
          <w:szCs w:val="24"/>
        </w:rPr>
        <w:t>(</w:t>
      </w:r>
      <w:r w:rsidRPr="00E52CB0">
        <w:rPr>
          <w:rFonts w:ascii="宋体" w:eastAsia="宋体" w:hAnsi="宋体" w:cs="宋体" w:hint="eastAsia"/>
          <w:b/>
          <w:bCs/>
          <w:sz w:val="24"/>
          <w:szCs w:val="24"/>
        </w:rPr>
        <w:t>传真</w:t>
      </w:r>
      <w:r w:rsidRPr="00E52CB0">
        <w:rPr>
          <w:rFonts w:ascii="宋体" w:eastAsia="宋体" w:hAnsi="宋体" w:cs="宋体"/>
          <w:b/>
          <w:bCs/>
          <w:sz w:val="24"/>
          <w:szCs w:val="24"/>
        </w:rPr>
        <w:t>)</w:t>
      </w:r>
      <w:r w:rsidRPr="00E52CB0">
        <w:rPr>
          <w:rFonts w:ascii="宋体" w:eastAsia="宋体" w:hAnsi="宋体" w:cs="宋体" w:hint="eastAsia"/>
          <w:b/>
          <w:bCs/>
          <w:sz w:val="24"/>
          <w:szCs w:val="24"/>
        </w:rPr>
        <w:t>：</w:t>
      </w:r>
      <w:r w:rsidRPr="00E52CB0">
        <w:rPr>
          <w:rFonts w:ascii="宋体" w:eastAsia="宋体" w:hAnsi="宋体" w:cs="宋体"/>
          <w:b/>
          <w:bCs/>
          <w:sz w:val="24"/>
          <w:szCs w:val="24"/>
        </w:rPr>
        <w:t>0580-2067875   E-mail:qyh999@126.com</w:t>
      </w:r>
    </w:p>
    <w:p w:rsidR="009B5773" w:rsidRDefault="009B5773">
      <w:pPr>
        <w:rPr>
          <w:rFonts w:cs="Times New Roman"/>
        </w:rPr>
      </w:pPr>
    </w:p>
    <w:sectPr w:rsidR="009B5773" w:rsidSect="007B2661">
      <w:pgSz w:w="11906" w:h="16838" w:code="9"/>
      <w:pgMar w:top="1440" w:right="1588" w:bottom="1440" w:left="1588" w:header="851" w:footer="992"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73" w:rsidRDefault="009B5773">
      <w:pPr>
        <w:rPr>
          <w:rFonts w:cs="Times New Roman"/>
        </w:rPr>
      </w:pPr>
      <w:r>
        <w:rPr>
          <w:rFonts w:cs="Times New Roman"/>
        </w:rPr>
        <w:separator/>
      </w:r>
    </w:p>
  </w:endnote>
  <w:endnote w:type="continuationSeparator" w:id="0">
    <w:p w:rsidR="009B5773" w:rsidRDefault="009B577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73" w:rsidRDefault="009B5773">
      <w:pPr>
        <w:rPr>
          <w:rFonts w:cs="Times New Roman"/>
        </w:rPr>
      </w:pPr>
      <w:r>
        <w:rPr>
          <w:rFonts w:cs="Times New Roman"/>
        </w:rPr>
        <w:separator/>
      </w:r>
    </w:p>
  </w:footnote>
  <w:footnote w:type="continuationSeparator" w:id="0">
    <w:p w:rsidR="009B5773" w:rsidRDefault="009B577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3F"/>
    <w:multiLevelType w:val="hybridMultilevel"/>
    <w:tmpl w:val="8026C5CE"/>
    <w:lvl w:ilvl="0" w:tplc="2CAC0EC8">
      <w:numFmt w:val="bullet"/>
      <w:lvlText w:val="●"/>
      <w:lvlJc w:val="left"/>
      <w:pPr>
        <w:tabs>
          <w:tab w:val="num" w:pos="360"/>
        </w:tabs>
        <w:ind w:left="360" w:hanging="360"/>
      </w:pPr>
      <w:rPr>
        <w:rFonts w:ascii="楷体_GB2312" w:eastAsia="楷体_GB2312" w:hAnsi="Arial"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661"/>
    <w:rsid w:val="00014C3D"/>
    <w:rsid w:val="000168D6"/>
    <w:rsid w:val="00072B1A"/>
    <w:rsid w:val="000A2E88"/>
    <w:rsid w:val="001372FE"/>
    <w:rsid w:val="002120C5"/>
    <w:rsid w:val="00224252"/>
    <w:rsid w:val="002322F8"/>
    <w:rsid w:val="002352C6"/>
    <w:rsid w:val="00293ED8"/>
    <w:rsid w:val="003B00D3"/>
    <w:rsid w:val="0040257A"/>
    <w:rsid w:val="004702E5"/>
    <w:rsid w:val="00472FAF"/>
    <w:rsid w:val="00491851"/>
    <w:rsid w:val="005108F9"/>
    <w:rsid w:val="005479F9"/>
    <w:rsid w:val="0056586B"/>
    <w:rsid w:val="00575187"/>
    <w:rsid w:val="006404ED"/>
    <w:rsid w:val="006718DE"/>
    <w:rsid w:val="006E5B56"/>
    <w:rsid w:val="006F55C4"/>
    <w:rsid w:val="00740BA9"/>
    <w:rsid w:val="007B2661"/>
    <w:rsid w:val="007E58E5"/>
    <w:rsid w:val="007F575E"/>
    <w:rsid w:val="008C0357"/>
    <w:rsid w:val="008F51CB"/>
    <w:rsid w:val="0093741B"/>
    <w:rsid w:val="00971BE0"/>
    <w:rsid w:val="00995AB2"/>
    <w:rsid w:val="009A2B6E"/>
    <w:rsid w:val="009B5773"/>
    <w:rsid w:val="009B6713"/>
    <w:rsid w:val="009D4CF9"/>
    <w:rsid w:val="009F2BA0"/>
    <w:rsid w:val="00B532C6"/>
    <w:rsid w:val="00BE1989"/>
    <w:rsid w:val="00BF512D"/>
    <w:rsid w:val="00C562CA"/>
    <w:rsid w:val="00CF3292"/>
    <w:rsid w:val="00D64945"/>
    <w:rsid w:val="00DB7C52"/>
    <w:rsid w:val="00E30B37"/>
    <w:rsid w:val="00E36CD7"/>
    <w:rsid w:val="00E52CB0"/>
    <w:rsid w:val="00EB1F21"/>
    <w:rsid w:val="00ED7B83"/>
    <w:rsid w:val="00F4155D"/>
    <w:rsid w:val="00F4418D"/>
    <w:rsid w:val="00F549E7"/>
    <w:rsid w:val="00F635FC"/>
    <w:rsid w:val="00FC1CD4"/>
    <w:rsid w:val="00FF27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61"/>
    <w:pPr>
      <w:widowControl w:val="0"/>
      <w:jc w:val="both"/>
    </w:pPr>
    <w:rPr>
      <w:rFonts w:ascii="仿宋_GB2312" w:eastAsia="仿宋_GB2312" w:hAnsi="Calibri" w:cs="仿宋_GB2312"/>
      <w:color w:val="333333"/>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7">
    <w:name w:val="17"/>
    <w:basedOn w:val="DefaultParagraphFont"/>
    <w:uiPriority w:val="99"/>
    <w:rsid w:val="007B2661"/>
    <w:rPr>
      <w:rFonts w:cs="Times New Roman"/>
    </w:rPr>
  </w:style>
  <w:style w:type="paragraph" w:styleId="NormalWeb">
    <w:name w:val="Normal (Web)"/>
    <w:basedOn w:val="Normal"/>
    <w:uiPriority w:val="99"/>
    <w:rsid w:val="007B2661"/>
    <w:pPr>
      <w:widowControl/>
      <w:spacing w:before="100" w:beforeAutospacing="1" w:after="100" w:afterAutospacing="1"/>
      <w:jc w:val="left"/>
    </w:pPr>
    <w:rPr>
      <w:rFonts w:ascii="宋体" w:eastAsia="宋体" w:hAnsi="宋体" w:cs="宋体"/>
      <w:color w:val="auto"/>
      <w:kern w:val="0"/>
      <w:sz w:val="24"/>
      <w:szCs w:val="24"/>
    </w:rPr>
  </w:style>
  <w:style w:type="character" w:styleId="Strong">
    <w:name w:val="Strong"/>
    <w:basedOn w:val="DefaultParagraphFont"/>
    <w:uiPriority w:val="99"/>
    <w:qFormat/>
    <w:rsid w:val="007B2661"/>
    <w:rPr>
      <w:rFonts w:cs="Times New Roman"/>
      <w:b/>
      <w:bCs/>
    </w:rPr>
  </w:style>
  <w:style w:type="paragraph" w:styleId="Header">
    <w:name w:val="header"/>
    <w:basedOn w:val="Normal"/>
    <w:link w:val="HeaderChar"/>
    <w:uiPriority w:val="99"/>
    <w:rsid w:val="00B532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32C6"/>
    <w:rPr>
      <w:rFonts w:ascii="仿宋_GB2312" w:eastAsia="仿宋_GB2312" w:hAnsi="Calibri" w:cs="仿宋_GB2312"/>
      <w:color w:val="333333"/>
      <w:kern w:val="2"/>
      <w:sz w:val="18"/>
      <w:szCs w:val="18"/>
    </w:rPr>
  </w:style>
  <w:style w:type="paragraph" w:styleId="Footer">
    <w:name w:val="footer"/>
    <w:basedOn w:val="Normal"/>
    <w:link w:val="FooterChar"/>
    <w:uiPriority w:val="99"/>
    <w:rsid w:val="00B532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32C6"/>
    <w:rPr>
      <w:rFonts w:ascii="仿宋_GB2312" w:eastAsia="仿宋_GB2312" w:hAnsi="Calibri" w:cs="仿宋_GB2312"/>
      <w:color w:val="333333"/>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5</Pages>
  <Words>371</Words>
  <Characters>2117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王春琦</cp:lastModifiedBy>
  <cp:revision>9</cp:revision>
  <dcterms:created xsi:type="dcterms:W3CDTF">2018-06-14T06:52:00Z</dcterms:created>
  <dcterms:modified xsi:type="dcterms:W3CDTF">2018-08-03T07:10:00Z</dcterms:modified>
</cp:coreProperties>
</file>